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To the same age and sect as Simeon belonged John bar </w:t>
      </w:r>
      <w:r>
        <w:rPr>
          <w:spacing w:val="0"/>
          <w:w w:val="100"/>
          <w:position w:val="0"/>
          <w:shd w:val="clear" w:color="auto" w:fill="auto"/>
          <w:lang w:val="la-001" w:eastAsia="la-001" w:bidi="la-001"/>
        </w:rPr>
        <w:t xml:space="preserve">Cursus </w:t>
      </w:r>
      <w:r>
        <w:rPr>
          <w:spacing w:val="0"/>
          <w:w w:val="100"/>
          <w:position w:val="0"/>
          <w:shd w:val="clear" w:color="auto" w:fill="auto"/>
          <w:lang w:val="en-US" w:eastAsia="en-US" w:bidi="en-US"/>
        </w:rPr>
        <w:t>(K</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υρσoς</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bishop of Telia or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 xml:space="preserve">He was a native of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 xml:space="preserve">(ar-Raḳḳah), of good family, and was carefully educated by his widowed mother, who put him into the army at the age of twenty. He would not, however, be hindered from quitting the service after a few years and becoming a monk. Subsequently, in 519, he was raised to the dignity of bishop of Telia, whence he was expelled by Justin in 521. In 533 he visited Constantinople, and on his return to the East was seized by his enemies in the mountains of </w:t>
      </w:r>
      <w:r>
        <w:rPr>
          <w:spacing w:val="0"/>
          <w:w w:val="100"/>
          <w:position w:val="0"/>
          <w:shd w:val="clear" w:color="auto" w:fill="auto"/>
          <w:lang w:val="fr-FR" w:eastAsia="fr-FR" w:bidi="fr-FR"/>
        </w:rPr>
        <w:t>Sinj</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and dragged to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 xml:space="preserve">bis,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s'ain, </w:t>
      </w:r>
      <w:r>
        <w:rPr>
          <w:spacing w:val="0"/>
          <w:w w:val="100"/>
          <w:position w:val="0"/>
          <w:shd w:val="clear" w:color="auto" w:fill="auto"/>
          <w:lang w:val="en-US" w:eastAsia="en-US" w:bidi="en-US"/>
        </w:rPr>
        <w:t xml:space="preserve">and Antioch, where he died in 538, at the age of fifty-five, having been for a year and six days a close prisoner in the convent of the Comes </w:t>
      </w:r>
      <w:r>
        <w:rPr>
          <w:spacing w:val="0"/>
          <w:w w:val="100"/>
          <w:position w:val="0"/>
          <w:shd w:val="clear" w:color="auto" w:fill="auto"/>
          <w:lang w:val="fr-FR" w:eastAsia="fr-FR" w:bidi="fr-FR"/>
        </w:rPr>
        <w:t>Manass</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order of the cruel persecutor Ephraim, patriarch of Antioch (529-544). His life was written by his disciple Elias (of </w:t>
      </w:r>
      <w:r>
        <w:rPr>
          <w:spacing w:val="0"/>
          <w:w w:val="100"/>
          <w:position w:val="0"/>
          <w:shd w:val="clear" w:color="auto" w:fill="auto"/>
          <w:lang w:val="fr-FR" w:eastAsia="fr-FR" w:bidi="fr-FR"/>
        </w:rPr>
        <w:t>D</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Jacobite Church commemorates him on the 6th of February. Canons by John of Telia are extant in several MSS. in the British Museum and elsewhere.@@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questions put to him by Sergius with his replies have been published by Lamy.@@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His creed or confession of faith, addressed to the convents in and around Telia, is found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14549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431), and an exposition of the Trisagion in Cod. Vat. clix.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314) and Bodl. Marsh. 101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463, No. 20).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Another of the unfortunate Monophysite bishops whom Justin expelled from their sees (in 519) was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Ā</w:t>
      </w:r>
      <w:r>
        <w:rPr>
          <w:spacing w:val="0"/>
          <w:w w:val="100"/>
          <w:position w:val="0"/>
          <w:shd w:val="clear" w:color="auto" w:fill="auto"/>
          <w:lang w:val="fr-FR" w:eastAsia="fr-FR" w:bidi="fr-FR"/>
        </w:rPr>
        <w:t xml:space="preserve">mid, </w:t>
      </w:r>
      <w:r>
        <w:rPr>
          <w:spacing w:val="0"/>
          <w:w w:val="100"/>
          <w:position w:val="0"/>
          <w:shd w:val="clear" w:color="auto" w:fill="auto"/>
          <w:lang w:val="en-US" w:eastAsia="en-US" w:bidi="en-US"/>
        </w:rPr>
        <w:t>the third bishop of the name. He was banished, with his syncelli and with Isidore, bishop of Ken-neshrīn (Kinnesrīn), in the first instance to Petra, but was afterwards allowed to go to Alexandria,@@</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where he died in about eight years.@@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According to Assemani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ii. 52 ; comp. p. 169),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wrote a commentary on the Gospels. It would seem, however, from a passage of Zacharias Rhetor,@@</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that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merely prefixed a short prologue in Greek to a copy of the Gospels which he had procured at Alexandria,@@</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and that this MS. contained (as might be expected) the pericope on the woman taken in adultery (John viii. 2-11). That the Syriac translations of the prologue and pericope were made by himself is nowhere stated.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Yet another sufferer at the hands of Justin was John bar </w:t>
      </w:r>
      <w:r>
        <w:rPr>
          <w:spacing w:val="0"/>
          <w:w w:val="100"/>
          <w:position w:val="0"/>
          <w:shd w:val="clear" w:color="auto" w:fill="auto"/>
          <w:lang w:val="de-DE" w:eastAsia="de-DE" w:bidi="de-DE"/>
        </w:rPr>
        <w:t>Apht</w:t>
      </w:r>
      <w:r>
        <w:rPr>
          <w:spacing w:val="0"/>
          <w:w w:val="100"/>
          <w:position w:val="0"/>
          <w:shd w:val="clear" w:color="auto" w:fill="auto"/>
          <w:lang w:val="en-US" w:eastAsia="en-US" w:bidi="en-US"/>
        </w:rPr>
        <w:t>ō</w:t>
      </w:r>
      <w:r>
        <w:rPr>
          <w:spacing w:val="0"/>
          <w:w w:val="100"/>
          <w:position w:val="0"/>
          <w:shd w:val="clear" w:color="auto" w:fill="auto"/>
          <w:lang w:val="de-DE" w:eastAsia="de-DE" w:bidi="de-DE"/>
        </w:rPr>
        <w:t>ny</w:t>
      </w:r>
      <w:r>
        <w:rPr>
          <w:spacing w:val="0"/>
          <w:w w:val="100"/>
          <w:position w:val="0"/>
          <w:shd w:val="clear" w:color="auto" w:fill="auto"/>
          <w:lang w:val="en-US" w:eastAsia="en-US" w:bidi="en-US"/>
        </w:rPr>
        <w:t>ā (Aphthonia, his mother’s name).@@</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He was abbot of the convent of St Thomas at Seleucia (apparently in </w:t>
      </w:r>
      <w:r>
        <w:rPr>
          <w:spacing w:val="0"/>
          <w:w w:val="100"/>
          <w:position w:val="0"/>
          <w:shd w:val="clear" w:color="auto" w:fill="auto"/>
          <w:lang w:val="la-001" w:eastAsia="la-001" w:bidi="la-001"/>
        </w:rPr>
        <w:t xml:space="preserve">Pieria, </w:t>
      </w:r>
      <w:r>
        <w:rPr>
          <w:spacing w:val="0"/>
          <w:w w:val="100"/>
          <w:position w:val="0"/>
          <w:shd w:val="clear" w:color="auto" w:fill="auto"/>
          <w:lang w:val="en-US" w:eastAsia="en-US" w:bidi="en-US"/>
        </w:rPr>
        <w:t xml:space="preserve">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which was famous as a school for the study of Greek literature. Being expelled thence, he removed with his whole brotherhood to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Eagles’ Nest) on the Euphrates, opposite Europus </w:t>
      </w:r>
      <w:r>
        <w:rPr>
          <w:spacing w:val="0"/>
          <w:w w:val="100"/>
          <w:position w:val="0"/>
          <w:shd w:val="clear" w:color="auto" w:fill="auto"/>
          <w:lang w:val="fr-FR" w:eastAsia="fr-FR" w:bidi="fr-FR"/>
        </w:rPr>
        <w:t>(Jer</w:t>
      </w:r>
      <w:r>
        <w:rPr>
          <w:spacing w:val="0"/>
          <w:w w:val="100"/>
          <w:position w:val="0"/>
          <w:shd w:val="clear" w:color="auto" w:fill="auto"/>
          <w:lang w:val="en-US" w:eastAsia="en-US" w:bidi="en-US"/>
        </w:rPr>
        <w:t>ā</w:t>
      </w:r>
      <w:r>
        <w:rPr>
          <w:spacing w:val="0"/>
          <w:w w:val="100"/>
          <w:position w:val="0"/>
          <w:shd w:val="clear" w:color="auto" w:fill="auto"/>
          <w:lang w:val="fr-FR" w:eastAsia="fr-FR" w:bidi="fr-FR"/>
        </w:rPr>
        <w:t>b</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where he founded a new convent and school that more than rivalled the parent establishment, for here Thomas of </w:t>
      </w:r>
      <w:r>
        <w:rPr>
          <w:spacing w:val="0"/>
          <w:w w:val="100"/>
          <w:position w:val="0"/>
          <w:shd w:val="clear" w:color="auto" w:fill="auto"/>
          <w:lang w:val="la-001" w:eastAsia="la-001" w:bidi="la-001"/>
        </w:rPr>
        <w:t>Hera</w:t>
        <w:softHyphen/>
        <w:t xml:space="preserve">clea, </w:t>
      </w:r>
      <w:r>
        <w:rPr>
          <w:spacing w:val="0"/>
          <w:w w:val="100"/>
          <w:position w:val="0"/>
          <w:shd w:val="clear" w:color="auto" w:fill="auto"/>
          <w:lang w:val="en-US" w:eastAsia="en-US" w:bidi="en-US"/>
        </w:rPr>
        <w:t xml:space="preserve">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and others received their training in Greek letters.@@</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written by a disciple, is extant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12174.@@</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According to Dionysius of </w:t>
      </w:r>
      <w:r>
        <w:rPr>
          <w:spacing w:val="0"/>
          <w:w w:val="100"/>
          <w:position w:val="0"/>
          <w:shd w:val="clear" w:color="auto" w:fill="auto"/>
          <w:lang w:val="fr-FR" w:eastAsia="fr-FR" w:bidi="fr-FR"/>
        </w:rPr>
        <w:t>Tell-Mahr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quoted by Assemani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 he died in 538. He wrote a commentary on the Song of Songs, some extracts from which are preserved in a </w:t>
      </w:r>
      <w:r>
        <w:rPr>
          <w:i/>
          <w:iCs/>
          <w:spacing w:val="0"/>
          <w:w w:val="100"/>
          <w:position w:val="0"/>
          <w:shd w:val="clear" w:color="auto" w:fill="auto"/>
          <w:lang w:val="en-US" w:eastAsia="en-US" w:bidi="en-US"/>
        </w:rPr>
        <w:t xml:space="preserve">Catena </w:t>
      </w:r>
      <w:r>
        <w:rPr>
          <w:i/>
          <w:iCs/>
          <w:spacing w:val="0"/>
          <w:w w:val="100"/>
          <w:position w:val="0"/>
          <w:shd w:val="clear" w:color="auto" w:fill="auto"/>
          <w:lang w:val="la-001" w:eastAsia="la-001" w:bidi="la-001"/>
        </w:rPr>
        <w:t>Patrum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the British Museum (Add. 12168, f. 138a), a considerable number of hymns,@@</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and a biography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of Antioch,@@</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which must have been his last work, as he survived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only about nine months.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We now come to the man who was the real founder of the Jacobite Church in Asia, and from whom the Jacobites took their name, Jacob bar Theophilus, surnamed </w:t>
      </w:r>
      <w:r>
        <w:rPr>
          <w:spacing w:val="0"/>
          <w:w w:val="100"/>
          <w:position w:val="0"/>
          <w:shd w:val="clear" w:color="auto" w:fill="auto"/>
          <w:lang w:val="fr-FR" w:eastAsia="fr-FR" w:bidi="fr-FR"/>
        </w:rPr>
        <w:t>“Burde'ânâ”</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because his dress consisted of </w:t>
      </w:r>
      <w:r>
        <w:rPr>
          <w:spacing w:val="0"/>
          <w:w w:val="100"/>
          <w:position w:val="0"/>
          <w:shd w:val="clear" w:color="auto" w:fill="auto"/>
          <w:lang w:val="fr-FR" w:eastAsia="fr-FR" w:bidi="fr-FR"/>
        </w:rPr>
        <w:t xml:space="preserve">a </w:t>
      </w:r>
      <w:r>
        <w:rPr>
          <w:i/>
          <w:iCs/>
          <w:spacing w:val="0"/>
          <w:w w:val="100"/>
          <w:position w:val="0"/>
          <w:shd w:val="clear" w:color="auto" w:fill="auto"/>
          <w:lang w:val="de-DE" w:eastAsia="de-DE" w:bidi="de-DE"/>
        </w:rPr>
        <w:t>barda'th</w:t>
      </w:r>
      <w:r>
        <w:rPr>
          <w:i/>
          <w:iCs/>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coarse horse-cloth, which he never changed till it became quite ragged.@@</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What Assemani could learn regarding him he has put together in the </w:t>
      </w:r>
      <w:r>
        <w:rPr>
          <w:i/>
          <w:iCs/>
          <w:spacing w:val="0"/>
          <w:w w:val="100"/>
          <w:position w:val="0"/>
          <w:shd w:val="clear" w:color="auto" w:fill="auto"/>
          <w:lang w:val="en-US" w:eastAsia="en-US" w:bidi="en-US"/>
        </w:rPr>
        <w:t xml:space="preserve">Bibl. Orient., </w:t>
      </w:r>
      <w:r>
        <w:rPr>
          <w:spacing w:val="0"/>
          <w:w w:val="100"/>
          <w:position w:val="0"/>
          <w:shd w:val="clear" w:color="auto" w:fill="auto"/>
          <w:lang w:val="en-US" w:eastAsia="en-US" w:bidi="en-US"/>
        </w:rPr>
        <w:t>ii. 62-69@@</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 since then our sources of information have been largely increased, especially by the publication of the </w:t>
      </w:r>
      <w:r>
        <w:rPr>
          <w:i/>
          <w:iCs/>
          <w:spacing w:val="0"/>
          <w:w w:val="100"/>
          <w:position w:val="0"/>
          <w:shd w:val="clear" w:color="auto" w:fill="auto"/>
          <w:lang w:val="en-US" w:eastAsia="en-US" w:bidi="en-US"/>
        </w:rPr>
        <w:t xml:space="preserve">Bcclesiastical History </w:t>
      </w:r>
      <w:r>
        <w:rPr>
          <w:spacing w:val="0"/>
          <w:w w:val="100"/>
          <w:position w:val="0"/>
          <w:shd w:val="clear" w:color="auto" w:fill="auto"/>
          <w:lang w:val="en-US" w:eastAsia="en-US" w:bidi="en-US"/>
        </w:rPr>
        <w:t xml:space="preserve">of John of Ephesus by Cureton and of the same writer’s </w:t>
      </w:r>
      <w:r>
        <w:rPr>
          <w:i/>
          <w:iCs/>
          <w:spacing w:val="0"/>
          <w:w w:val="100"/>
          <w:position w:val="0"/>
          <w:shd w:val="clear" w:color="auto" w:fill="auto"/>
          <w:lang w:val="en-US" w:eastAsia="en-US" w:bidi="en-US"/>
        </w:rPr>
        <w:t>Lives</w:t>
      </w:r>
      <w:r>
        <w:rPr>
          <w:spacing w:val="0"/>
          <w:w w:val="100"/>
          <w:position w:val="0"/>
          <w:shd w:val="clear" w:color="auto" w:fill="auto"/>
          <w:lang w:val="en-US" w:eastAsia="en-US" w:bidi="en-US"/>
        </w:rPr>
        <w:t xml:space="preserve"> in Land’s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On a careful study of these is based Kleyn’s excellent book </w:t>
      </w:r>
      <w:r>
        <w:rPr>
          <w:i/>
          <w:iCs/>
          <w:spacing w:val="0"/>
          <w:w w:val="100"/>
          <w:position w:val="0"/>
          <w:shd w:val="clear" w:color="auto" w:fill="auto"/>
          <w:lang w:val="en-US" w:eastAsia="en-US" w:bidi="en-US"/>
        </w:rPr>
        <w:t xml:space="preserve">Jacobus </w:t>
      </w:r>
      <w:r>
        <w:rPr>
          <w:i/>
          <w:iCs/>
          <w:spacing w:val="0"/>
          <w:w w:val="100"/>
          <w:position w:val="0"/>
          <w:shd w:val="clear" w:color="auto" w:fill="auto"/>
          <w:lang w:val="fr-FR" w:eastAsia="fr-FR" w:bidi="fr-FR"/>
        </w:rPr>
        <w:t xml:space="preserve">Baradæüs, de </w:t>
      </w:r>
      <w:r>
        <w:rPr>
          <w:i/>
          <w:iCs/>
          <w:spacing w:val="0"/>
          <w:w w:val="100"/>
          <w:position w:val="0"/>
          <w:shd w:val="clear" w:color="auto" w:fill="auto"/>
          <w:lang w:val="en-US" w:eastAsia="en-US" w:bidi="en-US"/>
        </w:rPr>
        <w:t xml:space="preserve">Stichtcr </w:t>
      </w:r>
      <w:r>
        <w:rPr>
          <w:i/>
          <w:iCs/>
          <w:spacing w:val="0"/>
          <w:w w:val="100"/>
          <w:position w:val="0"/>
          <w:shd w:val="clear" w:color="auto" w:fill="auto"/>
          <w:lang w:val="de-DE" w:eastAsia="de-DE" w:bidi="de-DE"/>
        </w:rPr>
        <w:t xml:space="preserve">der Syrische </w:t>
      </w:r>
      <w:r>
        <w:rPr>
          <w:i/>
          <w:iCs/>
          <w:spacing w:val="0"/>
          <w:w w:val="100"/>
          <w:position w:val="0"/>
          <w:shd w:val="clear" w:color="auto" w:fill="auto"/>
          <w:lang w:val="en-US" w:eastAsia="en-US" w:bidi="en-US"/>
        </w:rPr>
        <w:t>Monoj)hysictische Kerk,</w:t>
      </w:r>
      <w:r>
        <w:rPr>
          <w:spacing w:val="0"/>
          <w:w w:val="100"/>
          <w:position w:val="0"/>
          <w:shd w:val="clear" w:color="auto" w:fill="auto"/>
          <w:lang w:val="en-US" w:eastAsia="en-US" w:bidi="en-US"/>
        </w:rPr>
        <w:t xml:space="preserve"> 1882. Jacob was the son of Theophilus bar </w:t>
      </w:r>
      <w:r>
        <w:rPr>
          <w:spacing w:val="0"/>
          <w:w w:val="100"/>
          <w:position w:val="0"/>
          <w:shd w:val="clear" w:color="auto" w:fill="auto"/>
          <w:lang w:val="fr-FR" w:eastAsia="fr-FR" w:bidi="fr-FR"/>
        </w:rPr>
        <w:t>Ma'n</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priest of </w:t>
      </w:r>
      <w:r>
        <w:rPr>
          <w:spacing w:val="0"/>
          <w:w w:val="100"/>
          <w:position w:val="0"/>
          <w:shd w:val="clear" w:color="auto" w:fill="auto"/>
          <w:lang w:val="fr-FR" w:eastAsia="fr-FR" w:bidi="fr-FR"/>
        </w:rPr>
        <w:t>Tell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 xml:space="preserve">and the child of his old age. After receiving a good education, he was entered at the monastery of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w:t>
      </w:r>
      <w:r>
        <w:rPr>
          <w:spacing w:val="0"/>
          <w:w w:val="100"/>
          <w:position w:val="0"/>
          <w:shd w:val="clear" w:color="auto" w:fill="auto"/>
          <w:lang w:val="en-US" w:eastAsia="en-US" w:bidi="en-US"/>
        </w:rPr>
        <w:t>ī</w:t>
      </w:r>
      <w:r>
        <w:rPr>
          <w:spacing w:val="0"/>
          <w:w w:val="100"/>
          <w:position w:val="0"/>
          <w:shd w:val="clear" w:color="auto" w:fill="auto"/>
          <w:lang w:val="fr-FR" w:eastAsia="fr-FR" w:bidi="fr-FR"/>
        </w:rPr>
        <w:t>lt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the Quarry),@@</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close by the village of Gum- m</w:t>
      </w:r>
      <w:r>
        <w:rPr>
          <w:color w:val="000000"/>
          <w:spacing w:val="0"/>
          <w:w w:val="100"/>
          <w:position w:val="0"/>
          <w:shd w:val="clear" w:color="auto" w:fill="auto"/>
          <w:lang w:val="en-US" w:eastAsia="en-US" w:bidi="en-US"/>
        </w:rPr>
        <w:t>ĕ</w:t>
      </w:r>
      <w:r>
        <w:rPr>
          <w:spacing w:val="0"/>
          <w:w w:val="100"/>
          <w:position w:val="0"/>
          <w:shd w:val="clear" w:color="auto" w:fill="auto"/>
          <w:lang w:val="fr-FR" w:eastAsia="fr-FR" w:bidi="fr-FR"/>
        </w:rPr>
        <w:t>th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Mount ī</w:t>
      </w:r>
      <w:r>
        <w:rPr>
          <w:spacing w:val="0"/>
          <w:w w:val="100"/>
          <w:position w:val="0"/>
          <w:shd w:val="clear" w:color="auto" w:fill="auto"/>
          <w:lang w:val="fr-FR" w:eastAsia="fr-FR" w:bidi="fr-FR"/>
        </w:rPr>
        <w:t>zal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ī</w:t>
      </w:r>
      <w:r>
        <w:rPr>
          <w:spacing w:val="0"/>
          <w:w w:val="100"/>
          <w:position w:val="0"/>
          <w:shd w:val="clear" w:color="auto" w:fill="auto"/>
          <w:lang w:val="fr-FR" w:eastAsia="fr-FR" w:bidi="fr-FR"/>
        </w:rPr>
        <w:t>zl</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not far from </w:t>
      </w:r>
      <w:r>
        <w:rPr>
          <w:spacing w:val="0"/>
          <w:w w:val="100"/>
          <w:position w:val="0"/>
          <w:shd w:val="clear" w:color="auto" w:fill="auto"/>
          <w:lang w:val="fr-FR" w:eastAsia="fr-FR" w:bidi="fr-FR"/>
        </w:rPr>
        <w:t>Tell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About 527-</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528 he and another monk of </w:t>
      </w:r>
      <w:r>
        <w:rPr>
          <w:spacing w:val="0"/>
          <w:w w:val="100"/>
          <w:position w:val="0"/>
          <w:shd w:val="clear" w:color="auto" w:fill="auto"/>
          <w:lang w:val="fr-FR" w:eastAsia="fr-FR" w:bidi="fr-FR"/>
        </w:rPr>
        <w:t>Tell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named Sergius, were sent to Constantinople in defence of their faith, and, being favourably received by the empress Theodora, they remained there fifteen years. Meantime the persecutions of the Monophysites, more especially that of 536-537 by Ephraim of Antioch, seemed to have crushed their party, despite all the efforts of the devoted John of Telia and John of </w:t>
      </w:r>
      <w:r>
        <w:rPr>
          <w:spacing w:val="0"/>
          <w:w w:val="100"/>
          <w:position w:val="0"/>
          <w:shd w:val="clear" w:color="auto" w:fill="auto"/>
          <w:lang w:val="fr-FR" w:eastAsia="fr-FR" w:bidi="fr-FR"/>
        </w:rPr>
        <w:t>Hephæstus.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state of matters excited the religious zeal of </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Ḥā</w:t>
      </w:r>
      <w:r>
        <w:rPr>
          <w:spacing w:val="0"/>
          <w:w w:val="100"/>
          <w:position w:val="0"/>
          <w:shd w:val="clear" w:color="auto" w:fill="auto"/>
          <w:lang w:val="fr-FR" w:eastAsia="fr-FR" w:bidi="fr-FR"/>
        </w:rPr>
        <w:t xml:space="preserve">rith </w:t>
      </w:r>
      <w:r>
        <w:rPr>
          <w:spacing w:val="0"/>
          <w:w w:val="100"/>
          <w:position w:val="0"/>
          <w:shd w:val="clear" w:color="auto" w:fill="auto"/>
          <w:lang w:val="en-US" w:eastAsia="en-US" w:bidi="en-US"/>
        </w:rPr>
        <w:t xml:space="preserve">ibn Jabalah, the Arab king of </w:t>
      </w:r>
      <w:r>
        <w:rPr>
          <w:spacing w:val="0"/>
          <w:w w:val="100"/>
          <w:position w:val="0"/>
          <w:shd w:val="clear" w:color="auto" w:fill="auto"/>
          <w:lang w:val="fr-FR" w:eastAsia="fr-FR" w:bidi="fr-FR"/>
        </w:rPr>
        <w:t>Ghass</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who came to Constantinople in 542-543, and urged Theodora to send two or three bishops to Syria. Accordingly two were conse</w:t>
        <w:softHyphen/>
        <w:t xml:space="preserve">crated by Theodosius, the exiled patriarch of Alexandria, namely, Theodore as bishop of </w:t>
      </w:r>
      <w:r>
        <w:rPr>
          <w:spacing w:val="0"/>
          <w:w w:val="100"/>
          <w:position w:val="0"/>
          <w:shd w:val="clear" w:color="auto" w:fill="auto"/>
          <w:lang w:val="la-001" w:eastAsia="la-001" w:bidi="la-001"/>
        </w:rPr>
        <w:t xml:space="preserve">Bostra, </w:t>
      </w:r>
      <w:r>
        <w:rPr>
          <w:spacing w:val="0"/>
          <w:w w:val="100"/>
          <w:position w:val="0"/>
          <w:shd w:val="clear" w:color="auto" w:fill="auto"/>
          <w:lang w:val="en-US" w:eastAsia="en-US" w:bidi="en-US"/>
        </w:rPr>
        <w:t xml:space="preserve">with jurisdiction over the provinces of Palestine and Arabia, and Jacob as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with juris</w:t>
        <w:softHyphen/>
        <w:t>diction over all Syria and Asia. From this time forward Jacob’s life was one of ceaseless toil and hardship. He visited in person and on foot almost every part of his vast diocese, consecrating deacons and priests, strengthening the weak, and bringing back those who had erred from the true faith. But to restore the Monophysite Church bishops were necessary, and the consecration of a bishop required the presence of at least three others. Select</w:t>
        <w:softHyphen/>
        <w:t xml:space="preserve">ing a priest named </w:t>
      </w:r>
      <w:r>
        <w:rPr>
          <w:spacing w:val="0"/>
          <w:w w:val="100"/>
          <w:position w:val="0"/>
          <w:shd w:val="clear" w:color="auto" w:fill="auto"/>
          <w:lang w:val="la-001" w:eastAsia="la-001" w:bidi="la-001"/>
        </w:rPr>
        <w:t xml:space="preserve">Conon </w:t>
      </w:r>
      <w:r>
        <w:rPr>
          <w:spacing w:val="0"/>
          <w:w w:val="100"/>
          <w:position w:val="0"/>
          <w:shd w:val="clear" w:color="auto" w:fill="auto"/>
          <w:lang w:val="en-US" w:eastAsia="en-US" w:bidi="en-US"/>
        </w:rPr>
        <w:t xml:space="preserve">from Cilicia and another named Eugenius from </w:t>
      </w:r>
      <w:r>
        <w:rPr>
          <w:spacing w:val="0"/>
          <w:w w:val="100"/>
          <w:position w:val="0"/>
          <w:shd w:val="clear" w:color="auto" w:fill="auto"/>
          <w:lang w:val="la-001" w:eastAsia="la-001" w:bidi="la-001"/>
        </w:rPr>
        <w:t xml:space="preserve">Isauria, </w:t>
      </w:r>
      <w:r>
        <w:rPr>
          <w:spacing w:val="0"/>
          <w:w w:val="100"/>
          <w:position w:val="0"/>
          <w:shd w:val="clear" w:color="auto" w:fill="auto"/>
          <w:lang w:val="en-US" w:eastAsia="en-US" w:bidi="en-US"/>
        </w:rPr>
        <w:t xml:space="preserve">he travelled with them to Constantinople and thence to Alexandria with letters of recommendation from the patriarch Theodosius. At Alexandria </w:t>
      </w:r>
      <w:r>
        <w:rPr>
          <w:spacing w:val="0"/>
          <w:w w:val="100"/>
          <w:position w:val="0"/>
          <w:shd w:val="clear" w:color="auto" w:fill="auto"/>
          <w:lang w:val="la-001" w:eastAsia="la-001" w:bidi="la-001"/>
        </w:rPr>
        <w:t xml:space="preserve">Conon </w:t>
      </w:r>
      <w:r>
        <w:rPr>
          <w:spacing w:val="0"/>
          <w:w w:val="100"/>
          <w:position w:val="0"/>
          <w:shd w:val="clear" w:color="auto" w:fill="auto"/>
          <w:lang w:val="en-US" w:eastAsia="en-US" w:bidi="en-US"/>
        </w:rPr>
        <w:t xml:space="preserve">was ordained bishop of Tarsus in Cilicia and Eugenius bishop of Seleucia in </w:t>
      </w:r>
      <w:r>
        <w:rPr>
          <w:spacing w:val="0"/>
          <w:w w:val="100"/>
          <w:position w:val="0"/>
          <w:shd w:val="clear" w:color="auto" w:fill="auto"/>
          <w:lang w:val="la-001" w:eastAsia="la-001" w:bidi="la-001"/>
        </w:rPr>
        <w:t xml:space="preserve">Isauria, </w:t>
      </w:r>
      <w:r>
        <w:rPr>
          <w:spacing w:val="0"/>
          <w:w w:val="100"/>
          <w:position w:val="0"/>
          <w:shd w:val="clear" w:color="auto" w:fill="auto"/>
          <w:lang w:val="en-US" w:eastAsia="en-US" w:bidi="en-US"/>
        </w:rPr>
        <w:t xml:space="preserve">whilst Antoninus and </w:t>
      </w:r>
      <w:r>
        <w:rPr>
          <w:spacing w:val="0"/>
          <w:w w:val="100"/>
          <w:position w:val="0"/>
          <w:shd w:val="clear" w:color="auto" w:fill="auto"/>
          <w:lang w:val="la-001" w:eastAsia="la-001" w:bidi="la-001"/>
        </w:rPr>
        <w:t xml:space="preserve">Antonius </w:t>
      </w:r>
      <w:r>
        <w:rPr>
          <w:spacing w:val="0"/>
          <w:w w:val="100"/>
          <w:position w:val="0"/>
          <w:shd w:val="clear" w:color="auto" w:fill="auto"/>
          <w:lang w:val="en-US" w:eastAsia="en-US" w:bidi="en-US"/>
        </w:rPr>
        <w:t>were consecrated for dioceses in Syria. On his return to Syria other bishops were appointed to sees there and in Asia, among the latter the historian John of Ephesus ; and so the work progressed, till at last Jacob’s efforts were crowned by the enthroning of his old friend Sergius as patriarch of Antioch (in 544). Sergius died in 547, and the see remained vacant for three years, after which, by the advice of Theodosius, Jacob and his bishops chose Paul, an abbot of Alexandria, to be their patriarch. Of the subsequent internal strifes among the Monophysites them</w:t>
        <w:softHyphen/>
        <w:t xml:space="preserve">selves we cannot here speak. The aged Jacob set out once more in the year 578 to visit Damian, patriarch of Alexandria, but died on the Egyptian frontier in the convent of </w:t>
      </w:r>
      <w:r>
        <w:rPr>
          <w:spacing w:val="0"/>
          <w:w w:val="100"/>
          <w:position w:val="0"/>
          <w:shd w:val="clear" w:color="auto" w:fill="auto"/>
          <w:lang w:val="de-DE" w:eastAsia="de-DE" w:bidi="de-DE"/>
        </w:rPr>
        <w:t xml:space="preserve">Mär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 xml:space="preserve">or of Casion. Here his remains rested in peace till 622, when they were stolen by the emissaries of Zacchseus, bishop of </w:t>
      </w:r>
      <w:r>
        <w:rPr>
          <w:spacing w:val="0"/>
          <w:w w:val="100"/>
          <w:position w:val="0"/>
          <w:shd w:val="clear" w:color="auto" w:fill="auto"/>
          <w:lang w:val="fr-FR" w:eastAsia="fr-FR" w:bidi="fr-FR"/>
        </w:rPr>
        <w:t>Tell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buried with much pomp in the monastery of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w:t>
      </w:r>
      <w:r>
        <w:rPr>
          <w:spacing w:val="0"/>
          <w:w w:val="100"/>
          <w:position w:val="0"/>
          <w:shd w:val="clear" w:color="auto" w:fill="auto"/>
          <w:lang w:val="en-US" w:eastAsia="en-US" w:bidi="en-US"/>
        </w:rPr>
        <w:t>ī</w:t>
      </w:r>
      <w:r>
        <w:rPr>
          <w:spacing w:val="0"/>
          <w:w w:val="100"/>
          <w:position w:val="0"/>
          <w:shd w:val="clear" w:color="auto" w:fill="auto"/>
          <w:lang w:val="fr-FR" w:eastAsia="fr-FR" w:bidi="fr-FR"/>
        </w:rPr>
        <w:t>lt</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His commemora</w:t>
        <w:softHyphen/>
        <w:t>tion takes place on 28th November, 21st March, and 31st July. Jacob’s life was too active and busy to admit of his writing much. We may mention an anaphora,@@</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sundry letters,@@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 creed or confes</w:t>
        <w:softHyphen/>
        <w:t xml:space="preserve">sion of faith, preserved in Arabic and a secondary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trans</w:t>
        <w:softHyphen/>
        <w:t>lation,@@</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and a homily for the feast of the annunciation, also extant only in an Arabic translation.@@</w:t>
      </w:r>
      <w:r>
        <w:rPr>
          <w:spacing w:val="0"/>
          <w:w w:val="100"/>
          <w:position w:val="0"/>
          <w:shd w:val="clear" w:color="auto" w:fill="auto"/>
          <w:vertAlign w:val="superscript"/>
          <w:lang w:val="en-US" w:eastAsia="en-US" w:bidi="en-US"/>
        </w:rPr>
        <w:t>25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Conspicuous among the scholars of this age for his knowledge of Greek, and more especially of the Aristotelian philosophy, was Sergius, priest and </w:t>
      </w:r>
      <w:r>
        <w:rPr>
          <w:spacing w:val="0"/>
          <w:w w:val="100"/>
          <w:position w:val="0"/>
          <w:shd w:val="clear" w:color="auto" w:fill="auto"/>
          <w:lang w:val="la-001" w:eastAsia="la-001" w:bidi="la-001"/>
        </w:rPr>
        <w:t xml:space="preserve">archiater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s'ain. </w:t>
      </w:r>
      <w:r>
        <w:rPr>
          <w:spacing w:val="0"/>
          <w:w w:val="100"/>
          <w:position w:val="0"/>
          <w:shd w:val="clear" w:color="auto" w:fill="auto"/>
          <w:lang w:val="en-US" w:eastAsia="en-US" w:bidi="en-US"/>
        </w:rPr>
        <w:t>He was, however, if Zacharias Rhetor may be trusted, a man of loose morals and ava</w:t>
        <w:softHyphen/>
        <w:t>ricious.@@</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He journeyed in 535 from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s'ain </w:t>
      </w:r>
      <w:r>
        <w:rPr>
          <w:spacing w:val="0"/>
          <w:w w:val="100"/>
          <w:position w:val="0"/>
          <w:shd w:val="clear" w:color="auto" w:fill="auto"/>
          <w:lang w:val="en-US" w:eastAsia="en-US" w:bidi="en-US"/>
        </w:rPr>
        <w:t xml:space="preserve">to Antioch to lodge a complaint before the patriarch Ephraim against his bishop </w:t>
      </w:r>
      <w:r>
        <w:rPr>
          <w:spacing w:val="0"/>
          <w:w w:val="100"/>
          <w:position w:val="0"/>
          <w:shd w:val="clear" w:color="auto" w:fill="auto"/>
          <w:lang w:val="fr-FR" w:eastAsia="fr-FR" w:bidi="fr-FR"/>
        </w:rPr>
        <w:t>As</w:t>
      </w:r>
      <w:r>
        <w:rPr>
          <w:spacing w:val="0"/>
          <w:w w:val="100"/>
          <w:position w:val="0"/>
          <w:shd w:val="clear" w:color="auto" w:fill="auto"/>
          <w:lang w:val="en-US" w:eastAsia="en-US" w:bidi="en-US"/>
        </w:rPr>
        <w:t>ȳ</w:t>
      </w:r>
      <w:r>
        <w:rPr>
          <w:spacing w:val="0"/>
          <w:w w:val="100"/>
          <w:position w:val="0"/>
          <w:shd w:val="clear" w:color="auto" w:fill="auto"/>
          <w:lang w:val="fr-FR" w:eastAsia="fr-FR" w:bidi="fr-FR"/>
        </w:rPr>
        <w:t>lus.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 xml:space="preserve">27 </w:t>
      </w:r>
      <w:r>
        <w:rPr>
          <w:spacing w:val="0"/>
          <w:w w:val="100"/>
          <w:position w:val="0"/>
          <w:shd w:val="clear" w:color="auto" w:fill="auto"/>
          <w:lang w:val="en-US" w:eastAsia="en-US" w:bidi="en-US"/>
        </w:rPr>
        <w:t xml:space="preserve">Just at this time the exiled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 xml:space="preserve">of Antioch and Theodosius of Alexandria, as well as the Stylite monk </w:t>
      </w:r>
      <w:r>
        <w:rPr>
          <w:spacing w:val="0"/>
          <w:w w:val="100"/>
          <w:position w:val="0"/>
          <w:shd w:val="clear" w:color="auto" w:fill="auto"/>
          <w:lang w:val="fr-FR" w:eastAsia="fr-FR" w:bidi="fr-FR"/>
        </w:rPr>
        <w:t>Z</w:t>
      </w:r>
      <w:r>
        <w:rPr>
          <w:spacing w:val="0"/>
          <w:w w:val="100"/>
          <w:position w:val="0"/>
          <w:shd w:val="clear" w:color="auto" w:fill="auto"/>
          <w:lang w:val="en-US" w:eastAsia="en-US" w:bidi="en-US"/>
        </w:rPr>
        <w:t>ĕ'ō</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were living with Anthimus of Constantinople under the protection of the empress Theodora. This alarmed Ephraim, who seems to have found a willing tool in Sergius. At any rate he sent him to Rome with letters to Agapetus, who travelled with him to Constantinople in the spring of 536, and procured the deposition and banishment of the Monophysites. Sergius died at Constantinople almost imme</w:t>
        <w:softHyphen/>
        <w:t>diately afterwards, and Agapetus followed him in a few days, wherein John of Ephesus and Zacharias Rhetor clearly see the judgment of Heaven.@@</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As a man of letters Sergius was to the Monophysites what Probus was to the Nestorians : he was the first@@</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to make them acquainted with the works of Aristotle by means of translations and commentaries. 'Abhd-īshō', it is true, gives Sergius a place in his catalogue of Nestorian writers,@@</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and states that he composed “expositions of logic” or “dialectics”; but he merely does so in the same way and on the same grounds that he registers the name of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as the author of “annals and a chronicle.”@@</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The books were too valuable for him to insist on the heresy of the writers. In the case of Sergius there was an additional reason. The man was well known in the East,@@</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many of his works being dedicated to his friend and</w:t>
      </w:r>
    </w:p>
    <w:p>
      <w:pPr>
        <w:pStyle w:val="Style7"/>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of the </w:t>
      </w:r>
      <w:r>
        <w:rPr>
          <w:spacing w:val="0"/>
          <w:w w:val="100"/>
          <w:position w:val="0"/>
          <w:shd w:val="clear" w:color="auto" w:fill="auto"/>
          <w:lang w:val="la-001" w:eastAsia="la-001" w:bidi="la-001"/>
        </w:rPr>
        <w:t xml:space="preserve">Museo </w:t>
      </w:r>
      <w:r>
        <w:rPr>
          <w:spacing w:val="0"/>
          <w:w w:val="100"/>
          <w:position w:val="0"/>
          <w:shd w:val="clear" w:color="auto" w:fill="auto"/>
          <w:lang w:val="en-US" w:eastAsia="en-US" w:bidi="en-US"/>
        </w:rPr>
        <w:t xml:space="preserve">Borgiano and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14650, from which it lias been reedited (with an excellent introduction, translation, and notes) by Guidi, </w:t>
      </w:r>
      <w:r>
        <w:rPr>
          <w:i/>
          <w:iCs/>
          <w:spacing w:val="0"/>
          <w:w w:val="100"/>
          <w:position w:val="0"/>
          <w:shd w:val="clear" w:color="auto" w:fill="auto"/>
          <w:lang w:val="en-US" w:eastAsia="en-US" w:bidi="en-US"/>
        </w:rPr>
        <w:t>La Lettera di Simeοne,</w:t>
      </w:r>
      <w:r>
        <w:rPr>
          <w:spacing w:val="0"/>
          <w:w w:val="100"/>
          <w:position w:val="0"/>
          <w:shd w:val="clear" w:color="auto" w:fill="auto"/>
          <w:lang w:val="en-US" w:eastAsia="en-US" w:bidi="en-US"/>
        </w:rPr>
        <w:t xml:space="preserve"> &amp;c., </w:t>
      </w:r>
      <w:r>
        <w:rPr>
          <w:spacing w:val="0"/>
          <w:w w:val="100"/>
          <w:position w:val="0"/>
          <w:shd w:val="clear" w:color="auto" w:fill="auto"/>
          <w:lang w:val="fr-FR" w:eastAsia="fr-FR" w:bidi="fr-FR"/>
        </w:rPr>
        <w:t xml:space="preserve">Reale Accademia </w:t>
      </w:r>
      <w:r>
        <w:rPr>
          <w:spacing w:val="0"/>
          <w:w w:val="100"/>
          <w:position w:val="0"/>
          <w:shd w:val="clear" w:color="auto" w:fill="auto"/>
          <w:lang w:val="la-001" w:eastAsia="la-001" w:bidi="la-001"/>
        </w:rPr>
        <w:t xml:space="preserve">dei </w:t>
      </w:r>
      <w:r>
        <w:rPr>
          <w:spacing w:val="0"/>
          <w:w w:val="100"/>
          <w:position w:val="0"/>
          <w:shd w:val="clear" w:color="auto" w:fill="auto"/>
          <w:lang w:val="en-US" w:eastAsia="en-US" w:bidi="en-US"/>
        </w:rPr>
        <w:t>Lincei, 1S81. To this work the reader is referred for all the documents bearing on the subject.</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name of the father is also given as Curcus and Cyriacus. Assemani’s Barsus </w:t>
      </w:r>
      <w:r>
        <w:rPr>
          <w:smallCaps/>
          <w:spacing w:val="0"/>
          <w:w w:val="100"/>
          <w:position w:val="0"/>
          <w:shd w:val="clear" w:color="auto" w:fill="auto"/>
          <w:lang w:val="en-US" w:eastAsia="en-US" w:bidi="en-US"/>
        </w:rPr>
        <w:t>(jB.O.,</w:t>
      </w:r>
      <w:r>
        <w:rPr>
          <w:spacing w:val="0"/>
          <w:w w:val="100"/>
          <w:position w:val="0"/>
          <w:shd w:val="clear" w:color="auto" w:fill="auto"/>
          <w:lang w:val="en-US" w:eastAsia="en-US" w:bidi="en-US"/>
        </w:rPr>
        <w:t xml:space="preserve"> ii. 54) is a misreading.</w:t>
      </w:r>
    </w:p>
    <w:p>
      <w:pPr>
        <w:pStyle w:val="Style7"/>
        <w:keepNext w:val="0"/>
        <w:keepLines w:val="0"/>
        <w:widowControl w:val="0"/>
        <w:shd w:val="clear" w:color="auto" w:fill="auto"/>
        <w:tabs>
          <w:tab w:pos="2999" w:val="left"/>
        </w:tabs>
        <w:bidi w:val="0"/>
        <w:spacing w:line="19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There are two copies in the British Museum, edited by Kleyn, </w:t>
      </w:r>
      <w:r>
        <w:rPr>
          <w:i/>
          <w:iCs/>
          <w:spacing w:val="0"/>
          <w:w w:val="100"/>
          <w:position w:val="0"/>
          <w:shd w:val="clear" w:color="auto" w:fill="auto"/>
          <w:lang w:val="en-US" w:eastAsia="en-US" w:bidi="en-US"/>
        </w:rPr>
        <w:t>Het Leνen van Johannes van Telia door Elias,</w:t>
      </w:r>
      <w:r>
        <w:rPr>
          <w:spacing w:val="0"/>
          <w:w w:val="100"/>
          <w:position w:val="0"/>
          <w:shd w:val="clear" w:color="auto" w:fill="auto"/>
          <w:lang w:val="en-US" w:eastAsia="en-US" w:bidi="en-US"/>
        </w:rPr>
        <w:t xml:space="preserve"> 1SS2 ; see also the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by John of Asia in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169.</w:t>
        <w:tab/>
      </w:r>
    </w:p>
    <w:p>
      <w:pPr>
        <w:pStyle w:val="Style7"/>
        <w:keepNext w:val="0"/>
        <w:keepLines w:val="0"/>
        <w:widowControl w:val="0"/>
        <w:shd w:val="clear" w:color="auto" w:fill="auto"/>
        <w:tabs>
          <w:tab w:pos="3199"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Β.Ο.,</w:t>
      </w:r>
      <w:r>
        <w:rPr>
          <w:spacing w:val="0"/>
          <w:w w:val="100"/>
          <w:position w:val="0"/>
          <w:shd w:val="clear" w:color="auto" w:fill="auto"/>
          <w:lang w:val="en-US" w:eastAsia="en-US" w:bidi="en-US"/>
        </w:rPr>
        <w:t xml:space="preserve"> ii. 54.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 xml:space="preserve">Dissert, </w:t>
      </w:r>
      <w:r>
        <w:rPr>
          <w:i/>
          <w:iCs/>
          <w:spacing w:val="0"/>
          <w:w w:val="100"/>
          <w:position w:val="0"/>
          <w:shd w:val="clear" w:color="auto" w:fill="auto"/>
          <w:lang w:val="la-001" w:eastAsia="la-001" w:bidi="la-001"/>
        </w:rPr>
        <w:t xml:space="preserve">de Syrorum </w:t>
      </w:r>
      <w:r>
        <w:rPr>
          <w:i/>
          <w:iCs/>
          <w:spacing w:val="0"/>
          <w:w w:val="100"/>
          <w:position w:val="0"/>
          <w:shd w:val="clear" w:color="auto" w:fill="auto"/>
          <w:lang w:val="en-US" w:eastAsia="en-US" w:bidi="en-US"/>
        </w:rPr>
        <w:t xml:space="preserve">Fide </w:t>
      </w:r>
      <w:r>
        <w:rPr>
          <w:i/>
          <w:iCs/>
          <w:spacing w:val="0"/>
          <w:w w:val="100"/>
          <w:position w:val="0"/>
          <w:shd w:val="clear" w:color="auto" w:fill="auto"/>
          <w:lang w:val="fr-FR" w:eastAsia="fr-FR" w:bidi="fr-FR"/>
        </w:rPr>
        <w:t xml:space="preserve">et Disciplina </w:t>
      </w:r>
      <w:r>
        <w:rPr>
          <w:i/>
          <w:iCs/>
          <w:spacing w:val="0"/>
          <w:w w:val="100"/>
          <w:position w:val="0"/>
          <w:shd w:val="clear" w:color="auto" w:fill="auto"/>
          <w:lang w:val="en-US" w:eastAsia="en-US" w:bidi="en-US"/>
        </w:rPr>
        <w:t xml:space="preserve">in Re </w:t>
      </w:r>
      <w:r>
        <w:rPr>
          <w:i/>
          <w:iCs/>
          <w:spacing w:val="0"/>
          <w:w w:val="100"/>
          <w:position w:val="0"/>
          <w:shd w:val="clear" w:color="auto" w:fill="auto"/>
          <w:lang w:val="la-001" w:eastAsia="la-001" w:bidi="la-001"/>
        </w:rPr>
        <w:t>Eucharistica,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1859, pp. 62-97.</w:t>
      </w:r>
    </w:p>
    <w:p>
      <w:pPr>
        <w:pStyle w:val="Style7"/>
        <w:keepNext w:val="0"/>
        <w:keepLines w:val="0"/>
        <w:widowControl w:val="0"/>
        <w:shd w:val="clear" w:color="auto" w:fill="auto"/>
        <w:tabs>
          <w:tab w:pos="2400" w:val="left"/>
          <w:tab w:pos="3588" w:val="left"/>
        </w:tabs>
        <w:bidi w:val="0"/>
        <w:spacing w:line="192"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105.</w:t>
        <w:tab/>
      </w:r>
    </w:p>
    <w:p>
      <w:pPr>
        <w:pStyle w:val="Style7"/>
        <w:keepNext w:val="0"/>
        <w:keepLines w:val="0"/>
        <w:widowControl w:val="0"/>
        <w:shd w:val="clear" w:color="auto" w:fill="auto"/>
        <w:tabs>
          <w:tab w:pos="2400" w:val="left"/>
          <w:tab w:pos="3588"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p. 108.</w:t>
        <w:tab/>
      </w:r>
    </w:p>
    <w:p>
      <w:pPr>
        <w:pStyle w:val="Style7"/>
        <w:keepNext w:val="0"/>
        <w:keepLines w:val="0"/>
        <w:widowControl w:val="0"/>
        <w:shd w:val="clear" w:color="auto" w:fill="auto"/>
        <w:tabs>
          <w:tab w:pos="2400" w:val="left"/>
          <w:tab w:pos="3588"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iii. 250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2819" w:val="left"/>
        </w:tabs>
        <w:bidi w:val="0"/>
        <w:spacing w:line="192" w:lineRule="auto"/>
        <w:ind w:left="0" w:firstLine="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Compare what is said of his fine library and of its ultimate deposition at  </w:t>
      </w:r>
      <w:r>
        <w:rPr>
          <w:rStyle w:val="CharStyle3"/>
        </w:rPr>
        <w:t>Ā</w:t>
      </w:r>
      <w:r>
        <w:rPr>
          <w:rStyle w:val="CharStyle3"/>
          <w:lang w:val="fr-FR" w:eastAsia="fr-FR" w:bidi="fr-FR"/>
        </w:rPr>
        <w:t>mid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245.</w:t>
        <w:tab/>
      </w:r>
    </w:p>
    <w:p>
      <w:pPr>
        <w:pStyle w:val="Style7"/>
        <w:keepNext w:val="0"/>
        <w:keepLines w:val="0"/>
        <w:widowControl w:val="0"/>
        <w:shd w:val="clear" w:color="auto" w:fill="auto"/>
        <w:tabs>
          <w:tab w:pos="2819" w:val="left"/>
        </w:tabs>
        <w:bidi w:val="0"/>
        <w:spacing w:line="19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9 </w:t>
      </w:r>
      <w:r>
        <w:rPr>
          <w:i/>
          <w:iCs/>
          <w:spacing w:val="0"/>
          <w:w w:val="100"/>
          <w:position w:val="0"/>
          <w:shd w:val="clear" w:color="auto" w:fill="auto"/>
          <w:lang w:val="en-US" w:eastAsia="en-US" w:bidi="en-US"/>
        </w:rPr>
        <w:t>Β.Ο.,</w:t>
      </w:r>
      <w:r>
        <w:rPr>
          <w:spacing w:val="0"/>
          <w:w w:val="100"/>
          <w:position w:val="0"/>
          <w:shd w:val="clear" w:color="auto" w:fill="auto"/>
          <w:lang w:val="en-US" w:eastAsia="en-US" w:bidi="en-US"/>
        </w:rPr>
        <w:t xml:space="preserve"> ii. 54.</w:t>
      </w:r>
    </w:p>
    <w:p>
      <w:pPr>
        <w:pStyle w:val="Style7"/>
        <w:keepNext w:val="0"/>
        <w:keepLines w:val="0"/>
        <w:widowControl w:val="0"/>
        <w:shd w:val="clear" w:color="auto" w:fill="auto"/>
        <w:tabs>
          <w:tab w:pos="2621" w:val="left"/>
        </w:tabs>
        <w:bidi w:val="0"/>
        <w:spacing w:line="192" w:lineRule="auto"/>
        <w:ind w:left="0" w:firstLine="36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267, 289, and comp. pp. 258, 295, 321 ; Hoffmann, </w:t>
      </w:r>
      <w:r>
        <w:rPr>
          <w:i/>
          <w:iCs/>
          <w:spacing w:val="0"/>
          <w:w w:val="100"/>
          <w:position w:val="0"/>
          <w:shd w:val="clear" w:color="auto" w:fill="auto"/>
          <w:lang w:val="de-DE" w:eastAsia="de-DE" w:bidi="de-DE"/>
        </w:rPr>
        <w:t>Auszüge,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162, note 1260.</w:t>
        <w:tab/>
      </w:r>
    </w:p>
    <w:p>
      <w:pPr>
        <w:pStyle w:val="Style7"/>
        <w:keepNext w:val="0"/>
        <w:keepLines w:val="0"/>
        <w:widowControl w:val="0"/>
        <w:shd w:val="clear" w:color="auto" w:fill="auto"/>
        <w:tabs>
          <w:tab w:pos="2821" w:val="left"/>
        </w:tabs>
        <w:bidi w:val="0"/>
        <w:spacing w:line="192" w:lineRule="auto"/>
        <w:ind w:left="0" w:firstLine="36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1124, No. 5.</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See for example,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17134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330).</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Cited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14731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855).</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Usually corrupted into </w:t>
      </w:r>
      <w:r>
        <w:rPr>
          <w:spacing w:val="0"/>
          <w:w w:val="100"/>
          <w:position w:val="0"/>
          <w:shd w:val="clear" w:color="auto" w:fill="auto"/>
          <w:lang w:val="fr-FR" w:eastAsia="fr-FR" w:bidi="fr-FR"/>
        </w:rPr>
        <w:t xml:space="preserve">Baradæus </w:t>
      </w:r>
      <w:r>
        <w:rPr>
          <w:spacing w:val="0"/>
          <w:w w:val="100"/>
          <w:position w:val="0"/>
          <w:shd w:val="clear" w:color="auto" w:fill="auto"/>
          <w:lang w:val="en-US" w:eastAsia="en-US" w:bidi="en-US"/>
        </w:rPr>
        <w:t xml:space="preserve">; the form </w:t>
      </w:r>
      <w:r>
        <w:rPr>
          <w:spacing w:val="0"/>
          <w:w w:val="100"/>
          <w:position w:val="0"/>
          <w:shd w:val="clear" w:color="auto" w:fill="auto"/>
          <w:lang w:val="fr-FR" w:eastAsia="fr-FR" w:bidi="fr-FR"/>
        </w:rPr>
        <w:t>Burd</w:t>
      </w:r>
      <w:r>
        <w:rPr>
          <w:spacing w:val="0"/>
          <w:w w:val="100"/>
          <w:position w:val="0"/>
          <w:shd w:val="clear" w:color="auto" w:fill="auto"/>
          <w:lang w:val="en-US" w:eastAsia="en-US" w:bidi="en-US"/>
        </w:rPr>
        <w:t>ĕ</w:t>
      </w:r>
      <w:r>
        <w:rPr>
          <w:spacing w:val="0"/>
          <w:w w:val="100"/>
          <w:position w:val="0"/>
          <w:shd w:val="clear" w:color="auto" w:fill="auto"/>
          <w:lang w:val="fr-FR" w:eastAsia="fr-FR" w:bidi="fr-FR"/>
        </w:rPr>
        <w:t>'</w:t>
      </w:r>
      <w:r>
        <w:rPr>
          <w:rStyle w:val="CharStyle3"/>
        </w:rPr>
        <w:t>ā</w:t>
      </w:r>
      <w:r>
        <w:rPr>
          <w:spacing w:val="0"/>
          <w:w w:val="100"/>
          <w:position w:val="0"/>
          <w:shd w:val="clear" w:color="auto" w:fill="auto"/>
          <w:lang w:val="fr-FR" w:eastAsia="fr-FR" w:bidi="fr-FR"/>
        </w:rPr>
        <w:t>y</w:t>
      </w:r>
      <w:r>
        <w:rPr>
          <w:rStyle w:val="CharStyle3"/>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seems to be incor</w:t>
        <w:softHyphen/>
        <w:t xml:space="preserve">rect ;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97.</w:t>
      </w:r>
    </w:p>
    <w:p>
      <w:pPr>
        <w:pStyle w:val="Style7"/>
        <w:keepNext w:val="0"/>
        <w:keepLines w:val="0"/>
        <w:widowControl w:val="0"/>
        <w:shd w:val="clear" w:color="auto" w:fill="auto"/>
        <w:tabs>
          <w:tab w:pos="2914" w:val="left"/>
        </w:tabs>
        <w:bidi w:val="0"/>
        <w:spacing w:line="192" w:lineRule="auto"/>
        <w:ind w:left="0" w:firstLine="36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See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375.</w:t>
        <w:tab/>
      </w:r>
    </w:p>
    <w:p>
      <w:pPr>
        <w:pStyle w:val="Style7"/>
        <w:keepNext w:val="0"/>
        <w:keepLines w:val="0"/>
        <w:widowControl w:val="0"/>
        <w:shd w:val="clear" w:color="auto" w:fill="auto"/>
        <w:tabs>
          <w:tab w:pos="2914"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16 Comp, also ii. 326, 331.</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17 The life at p. 249 is of course by John of Asia ; that at p. 364 can hardly be called his in its present form, though he may have collected most of the materials ; see Kleyn,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34,105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2684"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18 land,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365, 11. 6, 7.</w:t>
        <w:tab/>
      </w:r>
    </w:p>
    <w:p>
      <w:pPr>
        <w:pStyle w:val="Style7"/>
        <w:keepNext w:val="0"/>
        <w:keepLines w:val="0"/>
        <w:widowControl w:val="0"/>
        <w:shd w:val="clear" w:color="auto" w:fill="auto"/>
        <w:tabs>
          <w:tab w:pos="2684"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372,1. 2.</w:t>
      </w:r>
    </w:p>
    <w:p>
      <w:pPr>
        <w:pStyle w:val="Style7"/>
        <w:keepNext w:val="0"/>
        <w:keepLines w:val="0"/>
        <w:widowControl w:val="0"/>
        <w:shd w:val="clear" w:color="auto" w:fill="auto"/>
        <w:tabs>
          <w:tab w:pos="326" w:val="left"/>
        </w:tabs>
        <w:bidi w:val="0"/>
        <w:spacing w:line="199"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20</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176.</w:t>
      </w:r>
    </w:p>
    <w:p>
      <w:pPr>
        <w:pStyle w:val="Style7"/>
        <w:keepNext w:val="0"/>
        <w:keepLines w:val="0"/>
        <w:widowControl w:val="0"/>
        <w:shd w:val="clear" w:color="auto" w:fill="auto"/>
        <w:tabs>
          <w:tab w:pos="441"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21</w:t>
        <w:tab/>
        <w:t xml:space="preserve">See the account of this “translation” by Cyriacus, bishop of Mardē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ridïn), </w:t>
      </w:r>
      <w:r>
        <w:rPr>
          <w:spacing w:val="0"/>
          <w:w w:val="100"/>
          <w:position w:val="0"/>
          <w:shd w:val="clear" w:color="auto" w:fill="auto"/>
          <w:lang w:val="en-US" w:eastAsia="en-US" w:bidi="en-US"/>
        </w:rPr>
        <w:t xml:space="preserve">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12174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1131).</w:t>
      </w:r>
    </w:p>
    <w:p>
      <w:pPr>
        <w:pStyle w:val="Style7"/>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Translated by </w:t>
      </w:r>
      <w:r>
        <w:rPr>
          <w:spacing w:val="0"/>
          <w:w w:val="100"/>
          <w:position w:val="0"/>
          <w:shd w:val="clear" w:color="auto" w:fill="auto"/>
          <w:lang w:val="la-001" w:eastAsia="la-001" w:bidi="la-001"/>
        </w:rPr>
        <w:t xml:space="preserve">Renaudot, </w:t>
      </w:r>
      <w:r>
        <w:rPr>
          <w:spacing w:val="0"/>
          <w:w w:val="100"/>
          <w:position w:val="0"/>
          <w:shd w:val="clear" w:color="auto" w:fill="auto"/>
          <w:lang w:val="en-US" w:eastAsia="en-US" w:bidi="en-US"/>
        </w:rPr>
        <w:t>ii. 333.</w:t>
      </w:r>
    </w:p>
    <w:p>
      <w:pPr>
        <w:pStyle w:val="Style7"/>
        <w:keepNext w:val="0"/>
        <w:keepLines w:val="0"/>
        <w:widowControl w:val="0"/>
        <w:shd w:val="clear" w:color="auto" w:fill="auto"/>
        <w:tabs>
          <w:tab w:pos="274" w:val="left"/>
        </w:tabs>
        <w:bidi w:val="0"/>
        <w:spacing w:line="199" w:lineRule="auto"/>
        <w:ind w:left="0" w:firstLine="360"/>
        <w:jc w:val="left"/>
      </w:pP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ab/>
        <w:t xml:space="preserve">Translated from the </w:t>
      </w:r>
      <w:r>
        <w:rPr>
          <w:i/>
          <w:iCs/>
          <w:spacing w:val="0"/>
          <w:w w:val="100"/>
          <w:position w:val="0"/>
          <w:shd w:val="clear" w:color="auto" w:fill="auto"/>
          <w:lang w:val="en-US" w:eastAsia="en-US" w:bidi="en-US"/>
        </w:rPr>
        <w:t>Greek</w:t>
      </w:r>
      <w:r>
        <w:rPr>
          <w:spacing w:val="0"/>
          <w:w w:val="100"/>
          <w:position w:val="0"/>
          <w:shd w:val="clear" w:color="auto" w:fill="auto"/>
          <w:lang w:val="en-US" w:eastAsia="en-US" w:bidi="en-US"/>
        </w:rPr>
        <w:t xml:space="preserve"> originals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14602 ;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701 ; Kleyn,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164-194.</w:t>
      </w:r>
    </w:p>
    <w:p>
      <w:pPr>
        <w:pStyle w:val="Style7"/>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ab/>
        <w:t xml:space="preserve">See the Arabic text in Kleyn,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121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version has been edited by Cornill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 417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t xml:space="preserve">Bodl. Hunt. 199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448, No. 5).</w:t>
      </w:r>
    </w:p>
    <w:p>
      <w:pPr>
        <w:pStyle w:val="Style7"/>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26</w:t>
        <w:tab/>
        <w:t xml:space="preserve">Land, </w:t>
      </w:r>
      <w:r>
        <w:rPr>
          <w:i/>
          <w:iCs/>
          <w:spacing w:val="0"/>
          <w:w w:val="100"/>
          <w:position w:val="0"/>
          <w:shd w:val="clear" w:color="auto" w:fill="auto"/>
          <w:lang w:val="en-US" w:eastAsia="en-US" w:bidi="en-US"/>
        </w:rPr>
        <w:t>Anecd. Syr., Hi.</w:t>
      </w:r>
      <w:r>
        <w:rPr>
          <w:spacing w:val="0"/>
          <w:w w:val="100"/>
          <w:position w:val="0"/>
          <w:shd w:val="clear" w:color="auto" w:fill="auto"/>
          <w:lang w:val="en-US" w:eastAsia="en-US" w:bidi="en-US"/>
        </w:rPr>
        <w:t xml:space="preserve"> 289,11.13-15 ; comp. </w:t>
      </w:r>
      <w:r>
        <w:rPr>
          <w:spacing w:val="0"/>
          <w:w w:val="100"/>
          <w:position w:val="0"/>
          <w:shd w:val="clear" w:color="auto" w:fill="auto"/>
          <w:lang w:val="fr-FR" w:eastAsia="fr-FR" w:bidi="fr-FR"/>
        </w:rPr>
        <w:t>Bar-Hebræus,</w:t>
      </w:r>
      <w:r>
        <w:rPr>
          <w:spacing w:val="0"/>
          <w:w w:val="100"/>
          <w:position w:val="0"/>
          <w:shd w:val="clear" w:color="auto" w:fill="auto"/>
          <w:lang w:val="en-US" w:eastAsia="en-US" w:bidi="en-US"/>
        </w:rPr>
        <w:t xml:space="preserve"> Chron,.Eccics., i. 207.</w:t>
      </w:r>
    </w:p>
    <w:p>
      <w:pPr>
        <w:pStyle w:val="Style7"/>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205) has Ascolius (see also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323), but</w:t>
      </w:r>
    </w:p>
    <w:p>
      <w:pPr>
        <w:pStyle w:val="Style7"/>
        <w:keepNext w:val="0"/>
        <w:keepLines w:val="0"/>
        <w:widowControl w:val="0"/>
        <w:shd w:val="clear" w:color="auto" w:fill="auto"/>
        <w:tabs>
          <w:tab w:pos="1760" w:val="left"/>
        </w:tabs>
        <w:bidi w:val="0"/>
        <w:spacing w:line="199" w:lineRule="auto"/>
        <w:ind w:left="0" w:firstLine="0"/>
        <w:jc w:val="left"/>
      </w:pPr>
      <w:r>
        <w:rPr>
          <w:spacing w:val="0"/>
          <w:w w:val="100"/>
          <w:position w:val="0"/>
          <w:shd w:val="clear" w:color="auto" w:fill="auto"/>
          <w:lang w:val="fr-FR" w:eastAsia="fr-FR" w:bidi="fr-FR"/>
        </w:rPr>
        <w:t>As</w:t>
      </w:r>
      <w:r>
        <w:rPr>
          <w:rStyle w:val="CharStyle3"/>
        </w:rPr>
        <w:t>ȳ</w:t>
      </w:r>
      <w:r>
        <w:rPr>
          <w:spacing w:val="0"/>
          <w:w w:val="100"/>
          <w:position w:val="0"/>
          <w:shd w:val="clear" w:color="auto" w:fill="auto"/>
          <w:lang w:val="fr-FR" w:eastAsia="fr-FR" w:bidi="fr-FR"/>
        </w:rPr>
        <w:t xml:space="preserve">lus </w:t>
      </w:r>
      <w:r>
        <w:rPr>
          <w:spacing w:val="0"/>
          <w:w w:val="100"/>
          <w:position w:val="0"/>
          <w:shd w:val="clear" w:color="auto" w:fill="auto"/>
          <w:lang w:val="en-US" w:eastAsia="en-US" w:bidi="en-US"/>
        </w:rPr>
        <w:t xml:space="preserve">is correct ; see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iii. 289, 1. 6, and Kleyn, </w:t>
      </w:r>
      <w:r>
        <w:rPr>
          <w:i/>
          <w:iCs/>
          <w:spacing w:val="0"/>
          <w:w w:val="100"/>
          <w:position w:val="0"/>
          <w:shd w:val="clear" w:color="auto" w:fill="auto"/>
          <w:lang w:val="en-US" w:eastAsia="en-US" w:bidi="en-US"/>
        </w:rPr>
        <w:t xml:space="preserve">Johannes van Tella, </w:t>
      </w:r>
      <w:r>
        <w:rPr>
          <w:spacing w:val="0"/>
          <w:w w:val="100"/>
          <w:position w:val="0"/>
          <w:shd w:val="clear" w:color="auto" w:fill="auto"/>
          <w:lang w:val="en-US" w:eastAsia="en-US" w:bidi="en-US"/>
        </w:rPr>
        <w:t>p. 59, 1. penult.</w:t>
        <w:tab/>
      </w:r>
    </w:p>
    <w:p>
      <w:pPr>
        <w:pStyle w:val="Style7"/>
        <w:keepNext w:val="0"/>
        <w:keepLines w:val="0"/>
        <w:widowControl w:val="0"/>
        <w:shd w:val="clear" w:color="auto" w:fill="auto"/>
        <w:tabs>
          <w:tab w:pos="1760" w:val="left"/>
        </w:tabs>
        <w:bidi w:val="0"/>
        <w:spacing w:line="199" w:lineRule="auto"/>
        <w:ind w:left="0" w:firstLine="0"/>
        <w:jc w:val="left"/>
      </w:pP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19; iii. 290.</w:t>
      </w:r>
    </w:p>
    <w:p>
      <w:pPr>
        <w:pStyle w:val="Style7"/>
        <w:keepNext w:val="0"/>
        <w:keepLines w:val="0"/>
        <w:widowControl w:val="0"/>
        <w:shd w:val="clear" w:color="auto" w:fill="auto"/>
        <w:tabs>
          <w:tab w:pos="3787"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29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62 (trans., p. 59) ; see also the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150 (trans., p. 94) and 264 (trans., p. 172). </w:t>
      </w:r>
    </w:p>
    <w:p>
      <w:pPr>
        <w:pStyle w:val="Style7"/>
        <w:keepNext w:val="0"/>
        <w:keepLines w:val="0"/>
        <w:widowControl w:val="0"/>
        <w:shd w:val="clear" w:color="auto" w:fill="auto"/>
        <w:tabs>
          <w:tab w:pos="3947" w:val="left"/>
        </w:tabs>
        <w:bidi w:val="0"/>
        <w:spacing w:line="199"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3θ</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iii. 1, 87.</w:t>
        <w:tab/>
      </w:r>
    </w:p>
    <w:p>
      <w:pPr>
        <w:pStyle w:val="Style7"/>
        <w:keepNext w:val="0"/>
        <w:keepLines w:val="0"/>
        <w:widowControl w:val="0"/>
        <w:shd w:val="clear" w:color="auto" w:fill="auto"/>
        <w:tabs>
          <w:tab w:pos="3947" w:val="left"/>
        </w:tabs>
        <w:bidi w:val="0"/>
        <w:spacing w:line="199"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31</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229.</w:t>
      </w:r>
    </w:p>
    <w:p>
      <w:pPr>
        <w:pStyle w:val="Style7"/>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He may even be identical with the Sergius mentioned by Agathias as</w:t>
      </w:r>
    </w:p>
    <w:p>
      <w:pPr>
        <w:widowControl w:val="0"/>
        <w:spacing w:line="1" w:lineRule="exact"/>
      </w:pPr>
    </w:p>
    <w:sectPr>
      <w:footnotePr>
        <w:pos w:val="pageBottom"/>
        <w:numFmt w:val="decimal"/>
        <w:numRestart w:val="continuous"/>
      </w:footnotePr>
      <w:type w:val="continuous"/>
      <w:pgSz w:w="12240" w:h="16840"/>
      <w:pgMar w:top="1324" w:left="1440" w:right="1407"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