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mentary on the theological discourses of Gregory Nazianzen and various forms of ordination.@@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Timothy I. was a native of </w:t>
      </w:r>
      <w:r>
        <w:rPr>
          <w:spacing w:val="0"/>
          <w:w w:val="100"/>
          <w:position w:val="0"/>
          <w:shd w:val="clear" w:color="auto" w:fill="auto"/>
          <w:lang w:val="fr-FR" w:eastAsia="fr-FR" w:bidi="fr-FR"/>
        </w:rPr>
        <w:t xml:space="preserve">Hazzā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and had been a pupil of Abraham bar </w:t>
      </w:r>
      <w:r>
        <w:rPr>
          <w:spacing w:val="0"/>
          <w:w w:val="100"/>
          <w:position w:val="0"/>
          <w:shd w:val="clear" w:color="auto" w:fill="auto"/>
          <w:lang w:val="fr-FR" w:eastAsia="fr-FR" w:bidi="fr-FR"/>
        </w:rPr>
        <w:t xml:space="preserve">Dāshandādh </w:t>
      </w:r>
      <w:r>
        <w:rPr>
          <w:spacing w:val="0"/>
          <w:w w:val="100"/>
          <w:position w:val="0"/>
          <w:shd w:val="clear" w:color="auto" w:fill="auto"/>
          <w:lang w:val="en-US" w:eastAsia="en-US" w:bidi="en-US"/>
        </w:rPr>
        <w:t xml:space="preserve">(see above, p. 844) at the school of </w:t>
      </w:r>
      <w:r>
        <w:rPr>
          <w:spacing w:val="0"/>
          <w:w w:val="100"/>
          <w:position w:val="0"/>
          <w:shd w:val="clear" w:color="auto" w:fill="auto"/>
          <w:lang w:val="fr-FR" w:eastAsia="fr-FR" w:bidi="fr-FR"/>
        </w:rPr>
        <w:t xml:space="preserve">Bāshūsh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Saphsāphā. </w:t>
      </w:r>
      <w:r>
        <w:rPr>
          <w:spacing w:val="0"/>
          <w:w w:val="100"/>
          <w:position w:val="0"/>
          <w:shd w:val="clear" w:color="auto" w:fill="auto"/>
          <w:lang w:val="en-US" w:eastAsia="en-US" w:bidi="en-US"/>
        </w:rPr>
        <w:t xml:space="preserve">He became bishop of </w:t>
      </w:r>
      <w:r>
        <w:rPr>
          <w:spacing w:val="0"/>
          <w:w w:val="100"/>
          <w:position w:val="0"/>
          <w:shd w:val="clear" w:color="auto" w:fill="auto"/>
          <w:lang w:val="fr-FR" w:eastAsia="fr-FR" w:bidi="fr-FR"/>
        </w:rPr>
        <w:t>Bētli Bāghēsh,</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 xml:space="preserve">2 </w:t>
      </w:r>
      <w:r>
        <w:rPr>
          <w:spacing w:val="0"/>
          <w:w w:val="100"/>
          <w:position w:val="0"/>
          <w:shd w:val="clear" w:color="auto" w:fill="auto"/>
          <w:lang w:val="en-US" w:eastAsia="en-US" w:bidi="en-US"/>
        </w:rPr>
        <w:t xml:space="preserve">and stood well with the Muhammadan governor of Mosul, Abu </w:t>
      </w:r>
      <w:r>
        <w:rPr>
          <w:spacing w:val="0"/>
          <w:w w:val="100"/>
          <w:position w:val="0"/>
          <w:shd w:val="clear" w:color="auto" w:fill="auto"/>
          <w:lang w:val="fr-FR" w:eastAsia="fr-FR" w:bidi="fr-FR"/>
        </w:rPr>
        <w:t xml:space="preserve">Mūsā </w:t>
      </w:r>
      <w:r>
        <w:rPr>
          <w:spacing w:val="0"/>
          <w:w w:val="100"/>
          <w:position w:val="0"/>
          <w:shd w:val="clear" w:color="auto" w:fill="auto"/>
          <w:lang w:val="en-US" w:eastAsia="en-US" w:bidi="en-US"/>
        </w:rPr>
        <w:t xml:space="preserve">ibn Mus'ab, and his Christian secretary Abu </w:t>
      </w:r>
      <w:r>
        <w:rPr>
          <w:spacing w:val="0"/>
          <w:w w:val="100"/>
          <w:position w:val="0"/>
          <w:sz w:val="13"/>
          <w:szCs w:val="13"/>
          <w:shd w:val="clear" w:color="auto" w:fill="auto"/>
          <w:lang w:val="en-US" w:eastAsia="en-US" w:bidi="en-US"/>
        </w:rPr>
        <w:t xml:space="preserve">Null </w:t>
      </w:r>
      <w:r>
        <w:rPr>
          <w:spacing w:val="0"/>
          <w:w w:val="100"/>
          <w:position w:val="0"/>
          <w:shd w:val="clear" w:color="auto" w:fill="auto"/>
          <w:lang w:val="en-US" w:eastAsia="en-US" w:bidi="en-US"/>
        </w:rPr>
        <w:t>al-Anbari.@@</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On the death of Henan-ishō</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II. in 779,@@</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several persons presented themselves as candidates for the dignity of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Timothy got rid of ishō'-yabh, abbot of Beth </w:t>
      </w:r>
      <w:r>
        <w:rPr>
          <w:spacing w:val="0"/>
          <w:w w:val="100"/>
          <w:position w:val="0"/>
          <w:shd w:val="clear" w:color="auto" w:fill="auto"/>
          <w:lang w:val="fr-FR" w:eastAsia="fr-FR" w:bidi="fr-FR"/>
        </w:rPr>
        <w:t xml:space="preserve">'ābhē, </w:t>
      </w:r>
      <w:r>
        <w:rPr>
          <w:spacing w:val="0"/>
          <w:w w:val="100"/>
          <w:position w:val="0"/>
          <w:shd w:val="clear" w:color="auto" w:fill="auto"/>
          <w:lang w:val="en-US" w:eastAsia="en-US" w:bidi="en-US"/>
        </w:rPr>
        <w:t xml:space="preserve">by pointing out to him that he was an old man, unfit to withstand his younger rivals, and by promising, if he himself were successful, to make him metropolitan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which he afterwards did. Meantime Thomas of Kashkar and other bishops held a synod at the convent of </w:t>
      </w:r>
      <w:r>
        <w:rPr>
          <w:spacing w:val="0"/>
          <w:w w:val="100"/>
          <w:position w:val="0"/>
          <w:shd w:val="clear" w:color="auto" w:fill="auto"/>
          <w:lang w:val="de-DE" w:eastAsia="de-DE" w:bidi="de-DE"/>
        </w:rPr>
        <w:t xml:space="preserve">Mār Pethiōn </w:t>
      </w:r>
      <w:r>
        <w:rPr>
          <w:spacing w:val="0"/>
          <w:w w:val="100"/>
          <w:position w:val="0"/>
          <w:shd w:val="clear" w:color="auto" w:fill="auto"/>
          <w:lang w:val="en-US" w:eastAsia="en-US" w:bidi="en-US"/>
        </w:rPr>
        <w:t>in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and elected the monk George, who had the support of </w:t>
      </w:r>
      <w:r>
        <w:rPr>
          <w:spacing w:val="0"/>
          <w:w w:val="100"/>
          <w:position w:val="0"/>
          <w:shd w:val="clear" w:color="auto" w:fill="auto"/>
          <w:lang w:val="fr-FR" w:eastAsia="fr-FR" w:bidi="fr-FR"/>
        </w:rPr>
        <w:t xml:space="preserve">’Isa </w:t>
      </w:r>
      <w:r>
        <w:rPr>
          <w:spacing w:val="0"/>
          <w:w w:val="100"/>
          <w:position w:val="0"/>
          <w:shd w:val="clear" w:color="auto" w:fill="auto"/>
          <w:lang w:val="en-US" w:eastAsia="en-US" w:bidi="en-US"/>
        </w:rPr>
        <w:t xml:space="preserve">the court physician ; but this formidable opponent died suddenly. Having by a mean trick obtained the support of the archdeacon </w:t>
      </w:r>
      <w:r>
        <w:rPr>
          <w:spacing w:val="0"/>
          <w:w w:val="100"/>
          <w:position w:val="0"/>
          <w:shd w:val="clear" w:color="auto" w:fill="auto"/>
          <w:lang w:val="fr-FR" w:eastAsia="fr-FR" w:bidi="fr-FR"/>
        </w:rPr>
        <w:t xml:space="preserve">Bērōē </w:t>
      </w:r>
      <w:r>
        <w:rPr>
          <w:spacing w:val="0"/>
          <w:w w:val="100"/>
          <w:position w:val="0"/>
          <w:shd w:val="clear" w:color="auto" w:fill="auto"/>
          <w:lang w:val="en-US" w:eastAsia="en-US" w:bidi="en-US"/>
        </w:rPr>
        <w:t xml:space="preserve">and the heads of the various colleges, Timothy managed at last to get himself appointed </w:t>
      </w:r>
      <w:r>
        <w:rPr>
          <w:spacing w:val="0"/>
          <w:w w:val="100"/>
          <w:position w:val="0"/>
          <w:shd w:val="clear" w:color="auto" w:fill="auto"/>
          <w:lang w:val="la-001" w:eastAsia="la-001" w:bidi="la-001"/>
        </w:rPr>
        <w:t>catholi</w:t>
        <w:softHyphen/>
        <w:t xml:space="preserve">cus, </w:t>
      </w:r>
      <w:r>
        <w:rPr>
          <w:spacing w:val="0"/>
          <w:w w:val="100"/>
          <w:position w:val="0"/>
          <w:shd w:val="clear" w:color="auto" w:fill="auto"/>
          <w:lang w:val="en-US" w:eastAsia="en-US" w:bidi="en-US"/>
        </w:rPr>
        <w:t>about eight months after the death of his predecessor. He still, however, encountered strong opposition. Ephraim metro</w:t>
        <w:softHyphen/>
        <w:t xml:space="preserve">politan of </w:t>
      </w:r>
      <w:r>
        <w:rPr>
          <w:spacing w:val="0"/>
          <w:w w:val="100"/>
          <w:position w:val="0"/>
          <w:shd w:val="clear" w:color="auto" w:fill="auto"/>
          <w:lang w:val="fr-FR" w:eastAsia="fr-FR" w:bidi="fr-FR"/>
        </w:rPr>
        <w:t xml:space="preserve">Guudē-Sliābhōr, </w:t>
      </w:r>
      <w:r>
        <w:rPr>
          <w:spacing w:val="0"/>
          <w:w w:val="100"/>
          <w:position w:val="0"/>
          <w:shd w:val="clear" w:color="auto" w:fill="auto"/>
          <w:lang w:val="en-US" w:eastAsia="en-US" w:bidi="en-US"/>
        </w:rPr>
        <w:t xml:space="preserve">Solomon bishop of al-Ḥadīthah, Joseph metropolitan of </w:t>
      </w:r>
      <w:r>
        <w:rPr>
          <w:spacing w:val="0"/>
          <w:w w:val="100"/>
          <w:position w:val="0"/>
          <w:shd w:val="clear" w:color="auto" w:fill="auto"/>
          <w:lang w:val="la-001" w:eastAsia="la-001" w:bidi="la-001"/>
        </w:rPr>
        <w:t xml:space="preserve">Marii </w:t>
      </w:r>
      <w:r>
        <w:rPr>
          <w:spacing w:val="0"/>
          <w:w w:val="100"/>
          <w:position w:val="0"/>
          <w:shd w:val="clear" w:color="auto" w:fill="auto"/>
          <w:lang w:val="en-US" w:eastAsia="en-US" w:bidi="en-US"/>
        </w:rPr>
        <w:t xml:space="preserve">or Merv, Sergius bishop of </w:t>
      </w:r>
      <w:r>
        <w:rPr>
          <w:spacing w:val="0"/>
          <w:w w:val="100"/>
          <w:position w:val="0"/>
          <w:shd w:val="clear" w:color="auto" w:fill="auto"/>
          <w:lang w:val="fr-FR" w:eastAsia="fr-FR" w:bidi="fr-FR"/>
        </w:rPr>
        <w:t xml:space="preserve">Ma'allēthāyā, </w:t>
      </w:r>
      <w:r>
        <w:rPr>
          <w:spacing w:val="0"/>
          <w:w w:val="100"/>
          <w:position w:val="0"/>
          <w:shd w:val="clear" w:color="auto" w:fill="auto"/>
          <w:lang w:val="en-US" w:eastAsia="en-US" w:bidi="en-US"/>
        </w:rPr>
        <w:t xml:space="preserve">and others held a synod at the convent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Hālē, </w:t>
      </w:r>
      <w:r>
        <w:rPr>
          <w:spacing w:val="0"/>
          <w:w w:val="100"/>
          <w:position w:val="0"/>
          <w:shd w:val="clear" w:color="auto" w:fill="auto"/>
          <w:lang w:val="en-US" w:eastAsia="en-US" w:bidi="en-US"/>
        </w:rPr>
        <w:t xml:space="preserve">in which they made Rustam, bishop of </w:t>
      </w:r>
      <w:r>
        <w:rPr>
          <w:spacing w:val="0"/>
          <w:w w:val="100"/>
          <w:position w:val="0"/>
          <w:shd w:val="clear" w:color="auto" w:fill="auto"/>
          <w:lang w:val="de-DE" w:eastAsia="de-DE" w:bidi="de-DE"/>
        </w:rPr>
        <w:t>Henāithā,</w:t>
      </w: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metropolitan of </w:t>
      </w:r>
      <w:r>
        <w:rPr>
          <w:spacing w:val="0"/>
          <w:w w:val="100"/>
          <w:position w:val="0"/>
          <w:shd w:val="clear" w:color="auto" w:fill="auto"/>
          <w:lang w:val="fr-FR" w:eastAsia="fr-FR" w:bidi="fr-FR"/>
        </w:rPr>
        <w:t>Hēdhai</w:t>
        <w:softHyphen/>
        <w:t xml:space="preserve">yabh </w:t>
      </w:r>
      <w:r>
        <w:rPr>
          <w:spacing w:val="0"/>
          <w:w w:val="100"/>
          <w:position w:val="0"/>
          <w:shd w:val="clear" w:color="auto" w:fill="auto"/>
          <w:lang w:val="en-US" w:eastAsia="en-US" w:bidi="en-US"/>
        </w:rPr>
        <w:t>in place of Ishō'-yabh,@@</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and excommunicated Timothy, who retorted with the same weapon and deposed Joseph of Merv. Joseph brought the matter before the caliph al-Mahdi, but, failing to gain any redress, in an evil hour for himself became a Muham</w:t>
        <w:softHyphen/>
        <w:t>madan.@@</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Once more Ephraim summoned his bishops to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and excommunicated Timothy for the second time, with no other result than a counter-excommunication and some disgraceful riot</w:t>
        <w:softHyphen/>
        <w:t xml:space="preserve">ing, which led to the interference of </w:t>
      </w:r>
      <w:r>
        <w:rPr>
          <w:spacing w:val="0"/>
          <w:w w:val="100"/>
          <w:position w:val="0"/>
          <w:shd w:val="clear" w:color="auto" w:fill="auto"/>
          <w:lang w:val="de-DE" w:eastAsia="de-DE" w:bidi="de-DE"/>
        </w:rPr>
        <w:t xml:space="preserve">'Isā </w:t>
      </w:r>
      <w:r>
        <w:rPr>
          <w:spacing w:val="0"/>
          <w:w w:val="100"/>
          <w:position w:val="0"/>
          <w:shd w:val="clear" w:color="auto" w:fill="auto"/>
          <w:lang w:val="en-US" w:eastAsia="en-US" w:bidi="en-US"/>
        </w:rPr>
        <w:t>and the restoration of peace.@@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Timothy was duly installed in May 780.@@</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He made the bishops of Persia subject to the see of Seleucia, and appointed over them one Simeon as metropolitan with orders to enforce a stricter rule than heretofore.@@</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In his days Christianity spread among the Turks, aud the </w:t>
      </w:r>
      <w:r>
        <w:rPr>
          <w:spacing w:val="0"/>
          <w:w w:val="100"/>
          <w:position w:val="0"/>
          <w:shd w:val="clear" w:color="auto" w:fill="auto"/>
          <w:lang w:val="fr-FR" w:eastAsia="fr-FR" w:bidi="fr-FR"/>
        </w:rPr>
        <w:t xml:space="preserve">khākān </w:t>
      </w:r>
      <w:r>
        <w:rPr>
          <w:spacing w:val="0"/>
          <w:w w:val="100"/>
          <w:position w:val="0"/>
          <w:shd w:val="clear" w:color="auto" w:fill="auto"/>
          <w:lang w:val="en-US" w:eastAsia="en-US" w:bidi="en-US"/>
        </w:rPr>
        <w:t>himself is said to have become a convert.@@</w:t>
      </w:r>
      <w:r>
        <w:rPr>
          <w:spacing w:val="0"/>
          <w:w w:val="100"/>
          <w:position w:val="0"/>
          <w:shd w:val="clear" w:color="auto" w:fill="auto"/>
          <w:vertAlign w:val="superscript"/>
          <w:lang w:val="en-US" w:eastAsia="en-US" w:bidi="en-US"/>
        </w:rPr>
        <w:t xml:space="preserve">11 </w:t>
      </w:r>
      <w:r>
        <w:rPr>
          <w:spacing w:val="0"/>
          <w:w w:val="100"/>
          <w:position w:val="0"/>
          <w:shd w:val="clear" w:color="auto" w:fill="auto"/>
          <w:lang w:val="en-US" w:eastAsia="en-US" w:bidi="en-US"/>
        </w:rPr>
        <w:t xml:space="preserve">Timothy’s disgraceful response to the caliph ar-Rashid in the matter of the divorce of Zubaidah may be seen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1,161. He is said to have died in 204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=819-820 </w:t>
      </w:r>
      <w:r>
        <w:rPr>
          <w:spacing w:val="0"/>
          <w:w w:val="100"/>
          <w:position w:val="0"/>
          <w:sz w:val="13"/>
          <w:szCs w:val="13"/>
          <w:shd w:val="clear" w:color="auto" w:fill="auto"/>
          <w:lang w:val="en-US" w:eastAsia="en-US" w:bidi="en-US"/>
        </w:rPr>
        <w:t xml:space="preserve">A.D., </w:t>
      </w:r>
      <w:r>
        <w:rPr>
          <w:spacing w:val="0"/>
          <w:w w:val="100"/>
          <w:position w:val="0"/>
          <w:shd w:val="clear" w:color="auto" w:fill="auto"/>
          <w:lang w:val="en-US" w:eastAsia="en-US" w:bidi="en-US"/>
        </w:rPr>
        <w:t xml:space="preserve">or 205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820-821 ; but, if he really was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for forty-three years, his death cannot have taken place till 823.@@</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'Abhd-īshō' informs us that Timothy wrote synodical epistles, a volume on questions of ecclesiastical law, another on questions of various sorts, a third containing disputations with a heretic, viz., the Jacobite patriarch George, about 200 letters in two volumes, a disputation with the caliph al-Mahdi or his successor </w:t>
      </w:r>
      <w:r>
        <w:rPr>
          <w:spacing w:val="0"/>
          <w:w w:val="100"/>
          <w:position w:val="0"/>
          <w:shd w:val="clear" w:color="auto" w:fill="auto"/>
          <w:lang w:val="fr-FR" w:eastAsia="fr-FR" w:bidi="fr-FR"/>
        </w:rPr>
        <w:t xml:space="preserve">al-Hādī </w:t>
      </w:r>
      <w:r>
        <w:rPr>
          <w:spacing w:val="0"/>
          <w:w w:val="100"/>
          <w:position w:val="0"/>
          <w:shd w:val="clear" w:color="auto" w:fill="auto"/>
          <w:lang w:val="en-US" w:eastAsia="en-US" w:bidi="en-US"/>
        </w:rPr>
        <w:t>(on matters of religion), and an astronomical work on the stars.@@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adds hymns for the dominical feasts of the whole year and a commentary on </w:t>
      </w:r>
      <w:r>
        <w:rPr>
          <w:spacing w:val="0"/>
          <w:w w:val="100"/>
          <w:position w:val="0"/>
          <w:shd w:val="clear" w:color="auto" w:fill="auto"/>
          <w:lang w:val="la-001" w:eastAsia="la-001" w:bidi="la-001"/>
        </w:rPr>
        <w:t xml:space="preserve">Theologus </w:t>
      </w:r>
      <w:r>
        <w:rPr>
          <w:spacing w:val="0"/>
          <w:w w:val="100"/>
          <w:position w:val="0"/>
          <w:shd w:val="clear" w:color="auto" w:fill="auto"/>
          <w:lang w:val="en-US" w:eastAsia="en-US" w:bidi="en-US"/>
        </w:rPr>
        <w:t>(Gregory Nazianzen).@@</w:t>
      </w:r>
      <w:r>
        <w:rPr>
          <w:spacing w:val="0"/>
          <w:w w:val="100"/>
          <w:position w:val="0"/>
          <w:shd w:val="clear" w:color="auto" w:fill="auto"/>
          <w:vertAlign w:val="superscript"/>
          <w:lang w:val="en-US" w:eastAsia="en-US" w:bidi="en-US"/>
        </w:rPr>
        <w:t>14</w:t>
      </w:r>
    </w:p>
    <w:p>
      <w:pPr>
        <w:pStyle w:val="Style2"/>
        <w:keepNext w:val="0"/>
        <w:keepLines w:val="0"/>
        <w:widowControl w:val="0"/>
        <w:shd w:val="clear" w:color="auto" w:fill="auto"/>
        <w:tabs>
          <w:tab w:pos="2009" w:val="left"/>
        </w:tabs>
        <w:bidi w:val="0"/>
        <w:spacing w:line="202" w:lineRule="auto"/>
        <w:ind w:left="0" w:firstLine="360"/>
        <w:jc w:val="left"/>
      </w:pPr>
      <w:r>
        <w:rPr>
          <w:spacing w:val="0"/>
          <w:w w:val="100"/>
          <w:position w:val="0"/>
          <w:shd w:val="clear" w:color="auto" w:fill="auto"/>
          <w:lang w:val="en-US" w:eastAsia="en-US" w:bidi="en-US"/>
        </w:rPr>
        <w:t>In this century too we may place the two following historical writers, whose names and works are unfortunately known to us only through the mention made of them by a later annalist. (1) An anonymous author, the abbot of the great convent (of Abra</w:t>
        <w:softHyphen/>
        <w:t xml:space="preserve">ham on Mount </w:t>
      </w:r>
      <w:r>
        <w:rPr>
          <w:spacing w:val="0"/>
          <w:w w:val="100"/>
          <w:position w:val="0"/>
          <w:shd w:val="clear" w:color="auto" w:fill="auto"/>
          <w:lang w:val="fr-FR" w:eastAsia="fr-FR" w:bidi="fr-FR"/>
        </w:rPr>
        <w:t xml:space="preserve">Izlā), </w:t>
      </w:r>
      <w:r>
        <w:rPr>
          <w:spacing w:val="0"/>
          <w:w w:val="100"/>
          <w:position w:val="0"/>
          <w:shd w:val="clear" w:color="auto" w:fill="auto"/>
          <w:lang w:val="en-US" w:eastAsia="en-US" w:bidi="en-US"/>
        </w:rPr>
        <w:t xml:space="preserve">cited by Elias bar </w:t>
      </w:r>
      <w:r>
        <w:rPr>
          <w:spacing w:val="0"/>
          <w:w w:val="100"/>
          <w:position w:val="0"/>
          <w:shd w:val="clear" w:color="auto" w:fill="auto"/>
          <w:lang w:val="fr-FR" w:eastAsia="fr-FR" w:bidi="fr-FR"/>
        </w:rPr>
        <w:t xml:space="preserve">Shīnāyā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 xml:space="preserve">Chronicle </w:t>
      </w:r>
      <w:r>
        <w:rPr>
          <w:spacing w:val="0"/>
          <w:w w:val="100"/>
          <w:position w:val="0"/>
          <w:shd w:val="clear" w:color="auto" w:fill="auto"/>
          <w:lang w:val="en-US" w:eastAsia="en-US" w:bidi="en-US"/>
        </w:rPr>
        <w:t>under the years 740-741.@@</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ab/>
        <w:t>(2) An ecclesiastical historian called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Pethiōn, </w:t>
      </w:r>
      <w:r>
        <w:rPr>
          <w:spacing w:val="0"/>
          <w:w w:val="100"/>
          <w:position w:val="0"/>
          <w:shd w:val="clear" w:color="auto" w:fill="auto"/>
          <w:lang w:val="en-US" w:eastAsia="en-US" w:bidi="en-US"/>
        </w:rPr>
        <w:t>identified by 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2, No. 6) with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that name. This is, however, impossible, because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died in 740, whereas the </w:t>
      </w:r>
      <w:r>
        <w:rPr>
          <w:i/>
          <w:iCs/>
          <w:spacing w:val="0"/>
          <w:w w:val="100"/>
          <w:position w:val="0"/>
          <w:shd w:val="clear" w:color="auto" w:fill="auto"/>
          <w:lang w:val="en-US" w:eastAsia="en-US" w:bidi="en-US"/>
        </w:rPr>
        <w:t>Ecclesiastical History of Pethion</w:t>
      </w:r>
      <w:r>
        <w:rPr>
          <w:spacing w:val="0"/>
          <w:w w:val="100"/>
          <w:position w:val="0"/>
          <w:shd w:val="clear" w:color="auto" w:fill="auto"/>
          <w:lang w:val="en-US" w:eastAsia="en-US" w:bidi="en-US"/>
        </w:rPr>
        <w:t xml:space="preserve"> is cited by Elias bar </w:t>
      </w:r>
      <w:r>
        <w:rPr>
          <w:spacing w:val="0"/>
          <w:w w:val="100"/>
          <w:position w:val="0"/>
          <w:shd w:val="clear" w:color="auto" w:fill="auto"/>
          <w:lang w:val="fr-FR" w:eastAsia="fr-FR" w:bidi="fr-FR"/>
        </w:rPr>
        <w:t xml:space="preserve">Shīnāyā </w:t>
      </w:r>
      <w:r>
        <w:rPr>
          <w:spacing w:val="0"/>
          <w:w w:val="100"/>
          <w:position w:val="0"/>
          <w:shd w:val="clear" w:color="auto" w:fill="auto"/>
          <w:lang w:val="en-US" w:eastAsia="en-US" w:bidi="en-US"/>
        </w:rPr>
        <w:t>under the years 765 and 768.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We conclude our enumeration of the Nestorian writers of this cen</w:t>
        <w:softHyphen/>
        <w:t xml:space="preserve">tury with the name of another historian. In the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iii.</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1, 195, the text of 'Abhd-īshō', as edited by Assemani, speaks of a writer named Ishō'-denah, bishop of </w:t>
      </w:r>
      <w:r>
        <w:rPr>
          <w:spacing w:val="0"/>
          <w:w w:val="100"/>
          <w:position w:val="0"/>
          <w:shd w:val="clear" w:color="auto" w:fill="auto"/>
          <w:lang w:val="fr-FR" w:eastAsia="fr-FR" w:bidi="fr-FR"/>
        </w:rPr>
        <w:t xml:space="preserve">Kasrā. </w:t>
      </w:r>
      <w:r>
        <w:rPr>
          <w:spacing w:val="0"/>
          <w:w w:val="100"/>
          <w:position w:val="0"/>
          <w:shd w:val="clear" w:color="auto" w:fill="auto"/>
          <w:lang w:val="en-US" w:eastAsia="en-US" w:bidi="en-US"/>
        </w:rPr>
        <w:t xml:space="preserve">Other MSS., however, read Basra (al-Basrah), which is confirmed by Elias bar </w:t>
      </w:r>
      <w:r>
        <w:rPr>
          <w:spacing w:val="0"/>
          <w:w w:val="100"/>
          <w:position w:val="0"/>
          <w:shd w:val="clear" w:color="auto" w:fill="auto"/>
          <w:lang w:val="fr-FR" w:eastAsia="fr-FR" w:bidi="fr-FR"/>
        </w:rPr>
        <w:t xml:space="preserve">Shīnāyā </w:t>
      </w:r>
      <w:r>
        <w:rPr>
          <w:spacing w:val="0"/>
          <w:w w:val="100"/>
          <w:position w:val="0"/>
          <w:shd w:val="clear" w:color="auto" w:fill="auto"/>
          <w:lang w:val="en-US" w:eastAsia="en-US" w:bidi="en-US"/>
        </w:rPr>
        <w:t xml:space="preserve">in Baethgen’s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 2. The variation </w:t>
      </w:r>
      <w:r>
        <w:rPr>
          <w:spacing w:val="0"/>
          <w:w w:val="100"/>
          <w:position w:val="0"/>
          <w:shd w:val="clear" w:color="auto" w:fill="auto"/>
          <w:lang w:val="fr-FR" w:eastAsia="fr-FR" w:bidi="fr-FR"/>
        </w:rPr>
        <w:t xml:space="preserve">Dēnah-īshō'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Bar- 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334) is of no consequence, and even there the MSS. differ. Besides the usual homilies of sorts and some metrical discourses, he wrote an introduction to logic, a work entitled </w:t>
      </w:r>
      <w:r>
        <w:rPr>
          <w:i/>
          <w:iCs/>
          <w:spacing w:val="0"/>
          <w:w w:val="100"/>
          <w:position w:val="0"/>
          <w:shd w:val="clear" w:color="auto" w:fill="auto"/>
          <w:lang w:val="en-US" w:eastAsia="en-US" w:bidi="en-US"/>
        </w:rPr>
        <w:t>The Book of Chastity,</w:t>
      </w:r>
      <w:r>
        <w:rPr>
          <w:spacing w:val="0"/>
          <w:w w:val="100"/>
          <w:position w:val="0"/>
          <w:shd w:val="clear" w:color="auto" w:fill="auto"/>
          <w:lang w:val="en-US" w:eastAsia="en-US" w:bidi="en-US"/>
        </w:rPr>
        <w:t xml:space="preserve"> in which he collected lives and anecdotes of holy men aud founders of monasteries, and an ecclesi</w:t>
        <w:softHyphen/>
        <w:t>astical history in three volumes.@@</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This valuable work is known to us only by a few citations in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and Elias bar </w:t>
      </w:r>
      <w:r>
        <w:rPr>
          <w:spacing w:val="0"/>
          <w:w w:val="100"/>
          <w:position w:val="0"/>
          <w:shd w:val="clear" w:color="auto" w:fill="auto"/>
          <w:lang w:val="fr-FR" w:eastAsia="fr-FR" w:bidi="fr-FR"/>
        </w:rPr>
        <w:t xml:space="preserve">Shīnāyā. </w:t>
      </w:r>
      <w:r>
        <w:rPr>
          <w:spacing w:val="0"/>
          <w:w w:val="100"/>
          <w:position w:val="0"/>
          <w:shd w:val="clear" w:color="auto" w:fill="auto"/>
          <w:lang w:val="en-US" w:eastAsia="en-US" w:bidi="en-US"/>
        </w:rPr>
        <w:t xml:space="preserve">Those in Bar </w:t>
      </w:r>
      <w:r>
        <w:rPr>
          <w:spacing w:val="0"/>
          <w:w w:val="100"/>
          <w:position w:val="0"/>
          <w:shd w:val="clear" w:color="auto" w:fill="auto"/>
          <w:lang w:val="fr-FR" w:eastAsia="fr-FR" w:bidi="fr-FR"/>
        </w:rPr>
        <w:t>Shīnāyā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17</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range from 624 to 714, but the extract in </w:t>
      </w:r>
      <w:r>
        <w:rPr>
          <w:spacing w:val="0"/>
          <w:w w:val="100"/>
          <w:position w:val="0"/>
          <w:shd w:val="clear" w:color="auto" w:fill="auto"/>
          <w:lang w:val="fr-FR" w:eastAsia="fr-FR" w:bidi="fr-FR"/>
        </w:rPr>
        <w:t>Bar-Hebræus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brings us down to 793.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Reverting now to the Jacobite Church, we shall find that the number of its literary men in the 9th century is not large, though some of them are of real importance as theologians and historians.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Dionysius </w:t>
      </w:r>
      <w:r>
        <w:rPr>
          <w:spacing w:val="0"/>
          <w:w w:val="100"/>
          <w:position w:val="0"/>
          <w:shd w:val="clear" w:color="auto" w:fill="auto"/>
          <w:lang w:val="de-DE" w:eastAsia="de-DE" w:bidi="de-DE"/>
        </w:rPr>
        <w:t>Tell-Ma</w:t>
      </w:r>
      <w:r>
        <w:rPr>
          <w:spacing w:val="0"/>
          <w:w w:val="100"/>
          <w:position w:val="0"/>
          <w:shd w:val="clear" w:color="auto" w:fill="auto"/>
          <w:lang w:val="en-US" w:eastAsia="en-US" w:bidi="en-US"/>
        </w:rPr>
        <w:t>ḥ</w:t>
      </w:r>
      <w:r>
        <w:rPr>
          <w:spacing w:val="0"/>
          <w:w w:val="100"/>
          <w:position w:val="0"/>
          <w:shd w:val="clear" w:color="auto" w:fill="auto"/>
          <w:lang w:val="de-DE" w:eastAsia="de-DE" w:bidi="de-DE"/>
        </w:rPr>
        <w:t>r</w:t>
      </w:r>
      <w:r>
        <w:rPr>
          <w:spacing w:val="0"/>
          <w:w w:val="100"/>
          <w:position w:val="0"/>
          <w:shd w:val="clear" w:color="auto" w:fill="auto"/>
          <w:lang w:val="en-US" w:eastAsia="en-US" w:bidi="en-US"/>
        </w:rPr>
        <w:t>ā</w:t>
      </w:r>
      <w:r>
        <w:rPr>
          <w:spacing w:val="0"/>
          <w:w w:val="100"/>
          <w:position w:val="0"/>
          <w:shd w:val="clear" w:color="auto" w:fill="auto"/>
          <w:lang w:val="de-DE" w:eastAsia="de-DE" w:bidi="de-DE"/>
        </w:rPr>
        <w:t>y</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as his surname implies, a native of </w:t>
      </w:r>
      <w:r>
        <w:rPr>
          <w:spacing w:val="0"/>
          <w:w w:val="100"/>
          <w:position w:val="0"/>
          <w:shd w:val="clear" w:color="auto" w:fill="auto"/>
          <w:lang w:val="fr-FR" w:eastAsia="fr-FR" w:bidi="fr-FR"/>
        </w:rPr>
        <w:t>Tell-Mahr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village situated between ar-Raḳḳah and Hisn Mas- lamah, near the river Balikh.@@</w:t>
      </w:r>
      <w:r>
        <w:rPr>
          <w:spacing w:val="0"/>
          <w:w w:val="100"/>
          <w:position w:val="0"/>
          <w:shd w:val="clear" w:color="auto" w:fill="auto"/>
          <w:vertAlign w:val="superscript"/>
          <w:lang w:val="en-US" w:eastAsia="en-US" w:bidi="en-US"/>
        </w:rPr>
        <w:t>lθ</w:t>
      </w:r>
      <w:r>
        <w:rPr>
          <w:spacing w:val="0"/>
          <w:w w:val="100"/>
          <w:position w:val="0"/>
          <w:shd w:val="clear" w:color="auto" w:fill="auto"/>
          <w:lang w:val="en-US" w:eastAsia="en-US" w:bidi="en-US"/>
        </w:rPr>
        <w:t xml:space="preserve"> He was a student in the convent of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on its destruction by fire@@</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and the consequent dispersion of the monks, he went to the convent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Jacob at </w:t>
      </w:r>
      <w:r>
        <w:rPr>
          <w:spacing w:val="0"/>
          <w:w w:val="100"/>
          <w:position w:val="0"/>
          <w:shd w:val="clear" w:color="auto" w:fill="auto"/>
          <w:lang w:val="de-DE" w:eastAsia="de-DE" w:bidi="de-DE"/>
        </w:rPr>
        <w:t xml:space="preserve">Kaisūm, </w:t>
      </w:r>
      <w:r>
        <w:rPr>
          <w:spacing w:val="0"/>
          <w:w w:val="100"/>
          <w:position w:val="0"/>
          <w:shd w:val="clear" w:color="auto" w:fill="auto"/>
          <w:lang w:val="en-US" w:eastAsia="en-US" w:bidi="en-US"/>
        </w:rPr>
        <w:t xml:space="preserve">in the district of </w:t>
      </w:r>
      <w:r>
        <w:rPr>
          <w:spacing w:val="0"/>
          <w:w w:val="100"/>
          <w:position w:val="0"/>
          <w:shd w:val="clear" w:color="auto" w:fill="auto"/>
          <w:lang w:val="de-DE" w:eastAsia="de-DE" w:bidi="de-DE"/>
        </w:rPr>
        <w:t>Samosāta.</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22</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He devoted himself entirely to historical studies,@@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which he seems to have carried on in peace and quiet till 818. The patriarch Cyriacus (see above, p. 842) had got entangled in a controversy with the monks of Cyrrhus and </w:t>
      </w:r>
      <w:r>
        <w:rPr>
          <w:spacing w:val="0"/>
          <w:w w:val="100"/>
          <w:position w:val="0"/>
          <w:shd w:val="clear" w:color="auto" w:fill="auto"/>
          <w:lang w:val="de-DE" w:eastAsia="de-DE" w:bidi="de-DE"/>
        </w:rPr>
        <w:t xml:space="preserve">Gubbā Barrāyā </w:t>
      </w:r>
      <w:r>
        <w:rPr>
          <w:spacing w:val="0"/>
          <w:w w:val="100"/>
          <w:position w:val="0"/>
          <w:shd w:val="clear" w:color="auto" w:fill="auto"/>
          <w:lang w:val="en-US" w:eastAsia="en-US" w:bidi="en-US"/>
        </w:rPr>
        <w:t xml:space="preserve">about the words </w:t>
      </w:r>
      <w:r>
        <w:rPr>
          <w:i/>
          <w:iCs/>
          <w:spacing w:val="0"/>
          <w:w w:val="100"/>
          <w:position w:val="0"/>
          <w:shd w:val="clear" w:color="auto" w:fill="auto"/>
          <w:lang w:val="fr-FR" w:eastAsia="fr-FR" w:bidi="fr-FR"/>
        </w:rPr>
        <w:t>lahmā sléémaiyānā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the heavenly bread”), &amp;c., in the Eucharistic service, which ended in the mal</w:t>
        <w:softHyphen/>
        <w:t xml:space="preserve">contents setting up as anti-patriarch Abraham, a monk of the convent of </w:t>
      </w:r>
      <w:r>
        <w:rPr>
          <w:spacing w:val="0"/>
          <w:w w:val="100"/>
          <w:position w:val="0"/>
          <w:shd w:val="clear" w:color="auto" w:fill="auto"/>
          <w:lang w:val="fr-FR" w:eastAsia="fr-FR" w:bidi="fr-FR"/>
        </w:rPr>
        <w:t xml:space="preserve">Kartamīn. </w:t>
      </w:r>
      <w:r>
        <w:rPr>
          <w:spacing w:val="0"/>
          <w:w w:val="100"/>
          <w:position w:val="0"/>
          <w:shd w:val="clear" w:color="auto" w:fill="auto"/>
          <w:lang w:val="en-US" w:eastAsia="en-US" w:bidi="en-US"/>
        </w:rPr>
        <w:t xml:space="preserve">After the death of Cyriacus in 817, a synod was held in June 818 at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(ar-Raḳḳah), in which, after con</w:t>
        <w:softHyphen/>
        <w:t xml:space="preserve">siderable discussion, Theodore, bishop of </w:t>
      </w:r>
      <w:r>
        <w:rPr>
          <w:spacing w:val="0"/>
          <w:w w:val="100"/>
          <w:position w:val="0"/>
          <w:shd w:val="clear" w:color="auto" w:fill="auto"/>
          <w:lang w:val="de-DE" w:eastAsia="de-DE" w:bidi="de-DE"/>
        </w:rPr>
        <w:t xml:space="preserve">Kaisūm, </w:t>
      </w:r>
      <w:r>
        <w:rPr>
          <w:spacing w:val="0"/>
          <w:w w:val="100"/>
          <w:position w:val="0"/>
          <w:shd w:val="clear" w:color="auto" w:fill="auto"/>
          <w:lang w:val="en-US" w:eastAsia="en-US" w:bidi="en-US"/>
        </w:rPr>
        <w:t xml:space="preserve">proposed the election of Dionysius, which was approved by most of those present, including Basil I., </w:t>
      </w:r>
      <w:r>
        <w:rPr>
          <w:spacing w:val="0"/>
          <w:w w:val="100"/>
          <w:position w:val="0"/>
          <w:shd w:val="clear" w:color="auto" w:fill="auto"/>
          <w:lang w:val="de-DE" w:eastAsia="de-DE" w:bidi="de-DE"/>
        </w:rPr>
        <w:t xml:space="preserve">maphriān </w:t>
      </w:r>
      <w:r>
        <w:rPr>
          <w:spacing w:val="0"/>
          <w:w w:val="100"/>
          <w:position w:val="0"/>
          <w:shd w:val="clear" w:color="auto" w:fill="auto"/>
          <w:lang w:val="en-US" w:eastAsia="en-US" w:bidi="en-US"/>
        </w:rPr>
        <w:t>of Taghrith.@@</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The poor monk was accordingly fetched to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 xml:space="preserve">received deacon’s orders on Friday in the convent of </w:t>
      </w:r>
      <w:r>
        <w:rPr>
          <w:spacing w:val="0"/>
          <w:w w:val="100"/>
          <w:position w:val="0"/>
          <w:shd w:val="clear" w:color="auto" w:fill="auto"/>
          <w:lang w:val="de-DE" w:eastAsia="de-DE" w:bidi="de-DE"/>
        </w:rPr>
        <w:t xml:space="preserve">Estūnā </w:t>
      </w:r>
      <w:r>
        <w:rPr>
          <w:spacing w:val="0"/>
          <w:w w:val="100"/>
          <w:position w:val="0"/>
          <w:shd w:val="clear" w:color="auto" w:fill="auto"/>
          <w:lang w:val="en-US" w:eastAsia="en-US" w:bidi="en-US"/>
        </w:rPr>
        <w:t xml:space="preserve">or the Pillar, priest’s orders on Saturday in the convent of </w:t>
      </w:r>
      <w:r>
        <w:rPr>
          <w:spacing w:val="0"/>
          <w:w w:val="100"/>
          <w:position w:val="0"/>
          <w:shd w:val="clear" w:color="auto" w:fill="auto"/>
          <w:lang w:val="de-DE" w:eastAsia="de-DE" w:bidi="de-DE"/>
        </w:rPr>
        <w:t xml:space="preserve">Mār Zakkāi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Zacchæus, </w:t>
      </w:r>
      <w:r>
        <w:rPr>
          <w:spacing w:val="0"/>
          <w:w w:val="100"/>
          <w:position w:val="0"/>
          <w:shd w:val="clear" w:color="auto" w:fill="auto"/>
          <w:lang w:val="en-US" w:eastAsia="en-US" w:bidi="en-US"/>
        </w:rPr>
        <w:t xml:space="preserve">and was raised to the patriarchate in the cathedral on Sunday the first of </w:t>
      </w:r>
      <w:r>
        <w:rPr>
          <w:spacing w:val="0"/>
          <w:w w:val="100"/>
          <w:position w:val="0"/>
          <w:shd w:val="clear" w:color="auto" w:fill="auto"/>
          <w:lang w:val="fr-FR" w:eastAsia="fr-FR" w:bidi="fr-FR"/>
        </w:rPr>
        <w:t xml:space="preserve">ābh, </w:t>
      </w:r>
      <w:r>
        <w:rPr>
          <w:spacing w:val="0"/>
          <w:w w:val="100"/>
          <w:position w:val="0"/>
          <w:shd w:val="clear" w:color="auto" w:fill="auto"/>
          <w:lang w:val="en-US" w:eastAsia="en-US" w:bidi="en-US"/>
        </w:rPr>
        <w:t xml:space="preserve">818, the officiating bishop being Theodosius of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Abraham and his partisans, seeing their hopes disappointed, main</w:t>
        <w:softHyphen/>
        <w:t>tained their hostile attitude, which led afterwards to the usual scandalous scenes before the Mushm authorities.@@</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Immediately after his installation, Dionysius commenced a visitation of his vast diocese, going first northwards to Cyrrhus, thence to Antioch, </w:t>
      </w:r>
      <w:r>
        <w:rPr>
          <w:spacing w:val="0"/>
          <w:w w:val="100"/>
          <w:position w:val="0"/>
          <w:shd w:val="clear" w:color="auto" w:fill="auto"/>
          <w:lang w:val="fr-FR" w:eastAsia="fr-FR" w:bidi="fr-FR"/>
        </w:rPr>
        <w:t xml:space="preserve">Kirkēsion (Kirkīsiyā), </w:t>
      </w:r>
      <w:r>
        <w:rPr>
          <w:spacing w:val="0"/>
          <w:w w:val="100"/>
          <w:position w:val="0"/>
          <w:shd w:val="clear" w:color="auto" w:fill="auto"/>
          <w:lang w:val="en-US" w:eastAsia="en-US" w:bidi="en-US"/>
        </w:rPr>
        <w:t xml:space="preserve">the district of the </w:t>
      </w:r>
      <w:r>
        <w:rPr>
          <w:spacing w:val="0"/>
          <w:w w:val="100"/>
          <w:position w:val="0"/>
          <w:shd w:val="clear" w:color="auto" w:fill="auto"/>
          <w:lang w:val="de-DE" w:eastAsia="de-DE" w:bidi="de-DE"/>
        </w:rPr>
        <w:t>Khābhūr, 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 xml:space="preserve">bis, Dārā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Kēphar-tūtiiā, </w:t>
      </w:r>
      <w:r>
        <w:rPr>
          <w:spacing w:val="0"/>
          <w:w w:val="100"/>
          <w:position w:val="0"/>
          <w:shd w:val="clear" w:color="auto" w:fill="auto"/>
          <w:lang w:val="en-US" w:eastAsia="en-US" w:bidi="en-US"/>
        </w:rPr>
        <w:t xml:space="preserve">and so back to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 xml:space="preserve">where he enjoyed the protection of </w:t>
      </w:r>
      <w:r>
        <w:rPr>
          <w:spacing w:val="0"/>
          <w:w w:val="100"/>
          <w:position w:val="0"/>
          <w:shd w:val="clear" w:color="auto" w:fill="auto"/>
          <w:lang w:val="de-DE" w:eastAsia="de-DE" w:bidi="de-DE"/>
        </w:rPr>
        <w:t xml:space="preserve">'Abdallāh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Tāhir </w:t>
      </w:r>
      <w:r>
        <w:rPr>
          <w:spacing w:val="0"/>
          <w:w w:val="100"/>
          <w:position w:val="0"/>
          <w:shd w:val="clear" w:color="auto" w:fill="auto"/>
          <w:lang w:val="en-US" w:eastAsia="en-US" w:bidi="en-US"/>
        </w:rPr>
        <w:t xml:space="preserve">against his rival Abraham. He did not on this occasion visit Mosul and Taghrith, because the </w:t>
      </w:r>
      <w:r>
        <w:rPr>
          <w:spacing w:val="0"/>
          <w:w w:val="100"/>
          <w:position w:val="0"/>
          <w:shd w:val="clear" w:color="auto" w:fill="auto"/>
          <w:lang w:val="de-DE" w:eastAsia="de-DE" w:bidi="de-DE"/>
        </w:rPr>
        <w:t xml:space="preserve">maphriān </w:t>
      </w:r>
      <w:r>
        <w:rPr>
          <w:spacing w:val="0"/>
          <w:w w:val="100"/>
          <w:position w:val="0"/>
          <w:shd w:val="clear" w:color="auto" w:fill="auto"/>
          <w:lang w:val="en-US" w:eastAsia="en-US" w:bidi="en-US"/>
        </w:rPr>
        <w:t>Basil thought the times unfavourable.@@</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In 825 </w:t>
      </w:r>
      <w:r>
        <w:rPr>
          <w:spacing w:val="0"/>
          <w:w w:val="100"/>
          <w:position w:val="0"/>
          <w:shd w:val="clear" w:color="auto" w:fill="auto"/>
          <w:lang w:val="de-DE" w:eastAsia="de-DE" w:bidi="de-DE"/>
        </w:rPr>
        <w:t>’Abd</w:t>
        <w:softHyphen/>
        <w:t xml:space="preserve">allāh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Tāhir </w:t>
      </w:r>
      <w:r>
        <w:rPr>
          <w:spacing w:val="0"/>
          <w:w w:val="100"/>
          <w:position w:val="0"/>
          <w:shd w:val="clear" w:color="auto" w:fill="auto"/>
          <w:lang w:val="en-US" w:eastAsia="en-US" w:bidi="en-US"/>
        </w:rPr>
        <w:t xml:space="preserve">was sent to Egypt to put down the rebellion of </w:t>
      </w:r>
      <w:r>
        <w:rPr>
          <w:spacing w:val="0"/>
          <w:w w:val="100"/>
          <w:position w:val="0"/>
          <w:shd w:val="clear" w:color="auto" w:fill="auto"/>
          <w:lang w:val="fr-FR" w:eastAsia="fr-FR" w:bidi="fr-FR"/>
        </w:rPr>
        <w:t xml:space="preserve">Obaidallāh </w:t>
      </w:r>
      <w:r>
        <w:rPr>
          <w:spacing w:val="0"/>
          <w:w w:val="100"/>
          <w:position w:val="0"/>
          <w:shd w:val="clear" w:color="auto" w:fill="auto"/>
          <w:lang w:val="en-US" w:eastAsia="en-US" w:bidi="en-US"/>
        </w:rPr>
        <w:t xml:space="preserve">ibn </w:t>
      </w:r>
      <w:r>
        <w:rPr>
          <w:spacing w:val="0"/>
          <w:w w:val="100"/>
          <w:position w:val="0"/>
          <w:shd w:val="clear" w:color="auto" w:fill="auto"/>
          <w:lang w:val="fr-FR" w:eastAsia="fr-FR" w:bidi="fr-FR"/>
        </w:rPr>
        <w:t xml:space="preserve">as-Sarī, </w:t>
      </w:r>
      <w:r>
        <w:rPr>
          <w:spacing w:val="0"/>
          <w:w w:val="100"/>
          <w:position w:val="0"/>
          <w:shd w:val="clear" w:color="auto" w:fill="auto"/>
          <w:lang w:val="en-US" w:eastAsia="en-US" w:bidi="en-US"/>
        </w:rPr>
        <w:t>where he remained as governor till 827.@@</w:t>
      </w:r>
      <w:r>
        <w:rPr>
          <w:spacing w:val="0"/>
          <w:w w:val="100"/>
          <w:position w:val="0"/>
          <w:shd w:val="clear" w:color="auto" w:fill="auto"/>
          <w:vertAlign w:val="superscript"/>
          <w:lang w:val="en-US" w:eastAsia="en-US" w:bidi="en-US"/>
        </w:rPr>
        <w:t xml:space="preserve">27 </w:t>
      </w:r>
      <w:r>
        <w:rPr>
          <w:spacing w:val="0"/>
          <w:w w:val="100"/>
          <w:position w:val="0"/>
          <w:shd w:val="clear" w:color="auto" w:fill="auto"/>
          <w:lang w:val="en-US" w:eastAsia="en-US" w:bidi="en-US"/>
        </w:rPr>
        <w:t xml:space="preserve">His brother Muhammad ibn </w:t>
      </w:r>
      <w:r>
        <w:rPr>
          <w:spacing w:val="0"/>
          <w:w w:val="100"/>
          <w:position w:val="0"/>
          <w:shd w:val="clear" w:color="auto" w:fill="auto"/>
          <w:lang w:val="de-DE" w:eastAsia="de-DE" w:bidi="de-DE"/>
        </w:rPr>
        <w:t xml:space="preserve">Tāhir </w:t>
      </w:r>
      <w:r>
        <w:rPr>
          <w:spacing w:val="0"/>
          <w:w w:val="100"/>
          <w:position w:val="0"/>
          <w:shd w:val="clear" w:color="auto" w:fill="auto"/>
          <w:lang w:val="en-US" w:eastAsia="en-US" w:bidi="en-US"/>
        </w:rPr>
        <w:t xml:space="preserve">was by no means so well disposed towards the Christians, and destroyed all that they had been allowed to build in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28</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Wherefore the patriarch went down into Egypt to beg the </w:t>
      </w:r>
      <w:r>
        <w:rPr>
          <w:spacing w:val="0"/>
          <w:w w:val="100"/>
          <w:position w:val="0"/>
          <w:shd w:val="clear" w:color="auto" w:fill="auto"/>
          <w:lang w:val="fr-FR" w:eastAsia="fr-FR" w:bidi="fr-FR"/>
        </w:rPr>
        <w:t xml:space="preserve">emīr </w:t>
      </w:r>
      <w:r>
        <w:rPr>
          <w:spacing w:val="0"/>
          <w:w w:val="100"/>
          <w:position w:val="0"/>
          <w:shd w:val="clear" w:color="auto" w:fill="auto"/>
          <w:lang w:val="de-DE" w:eastAsia="de-DE" w:bidi="de-DE"/>
        </w:rPr>
        <w:t xml:space="preserve">'Abdallāh </w:t>
      </w:r>
      <w:r>
        <w:rPr>
          <w:spacing w:val="0"/>
          <w:w w:val="100"/>
          <w:position w:val="0"/>
          <w:shd w:val="clear" w:color="auto" w:fill="auto"/>
          <w:lang w:val="en-US" w:eastAsia="en-US" w:bidi="en-US"/>
        </w:rPr>
        <w:t>to write to his brother and bid him moderate his zeal against the church, which he accordingly did.@@</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On his return from Egypt the patriarch had troubles with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who espoused the cause of the anti</w:t>
        <w:softHyphen/>
        <w:t>patriarch Abraham@@</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 and he then went to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in 829 to confer with the caliph </w:t>
      </w:r>
      <w:r>
        <w:rPr>
          <w:spacing w:val="0"/>
          <w:w w:val="100"/>
          <w:position w:val="0"/>
          <w:shd w:val="clear" w:color="auto" w:fill="auto"/>
          <w:lang w:val="fr-FR" w:eastAsia="fr-FR" w:bidi="fr-FR"/>
        </w:rPr>
        <w:t xml:space="preserve">al-Ma’mūn </w:t>
      </w:r>
      <w:r>
        <w:rPr>
          <w:spacing w:val="0"/>
          <w:w w:val="100"/>
          <w:position w:val="0"/>
          <w:shd w:val="clear" w:color="auto" w:fill="auto"/>
          <w:lang w:val="en-US" w:eastAsia="en-US" w:bidi="en-US"/>
        </w:rPr>
        <w:t>as to an edict that he had issued on the occasion of dissensions between the Palestinian and Babylonian Jews regarding the appointment of an exiliarch.@@</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During his stay in the capital disputes took place among the Christians, which ended in a reference to the caliph and in the deposition of the bishop Lazarus bar </w:t>
      </w:r>
      <w:r>
        <w:rPr>
          <w:spacing w:val="0"/>
          <w:w w:val="100"/>
          <w:position w:val="0"/>
          <w:shd w:val="clear" w:color="auto" w:fill="auto"/>
          <w:lang w:val="fr-FR" w:eastAsia="fr-FR" w:bidi="fr-FR"/>
        </w:rPr>
        <w:t>Sābhēthā.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From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Dionysius pro</w:t>
        <w:softHyphen/>
        <w:t xml:space="preserve">ceeded to Taghrith and Mosul, and nominated Daniel as </w:t>
      </w:r>
      <w:r>
        <w:rPr>
          <w:spacing w:val="0"/>
          <w:w w:val="100"/>
          <w:position w:val="0"/>
          <w:shd w:val="clear" w:color="auto" w:fill="auto"/>
          <w:lang w:val="de-DE" w:eastAsia="de-DE" w:bidi="de-DE"/>
        </w:rPr>
        <w:t xml:space="preserve">maphriān </w:t>
      </w:r>
      <w:r>
        <w:rPr>
          <w:spacing w:val="0"/>
          <w:w w:val="100"/>
          <w:position w:val="0"/>
          <w:shd w:val="clear" w:color="auto" w:fill="auto"/>
          <w:lang w:val="en-US" w:eastAsia="en-US" w:bidi="en-US"/>
        </w:rPr>
        <w:t xml:space="preserve">in place of the deceased Basil. In 830 </w:t>
      </w:r>
      <w:r>
        <w:rPr>
          <w:spacing w:val="0"/>
          <w:w w:val="100"/>
          <w:position w:val="0"/>
          <w:shd w:val="clear" w:color="auto" w:fill="auto"/>
          <w:lang w:val="de-DE" w:eastAsia="de-DE" w:bidi="de-DE"/>
        </w:rPr>
        <w:t xml:space="preserve">al-Ma’mūn </w:t>
      </w:r>
      <w:r>
        <w:rPr>
          <w:spacing w:val="0"/>
          <w:w w:val="100"/>
          <w:position w:val="0"/>
          <w:shd w:val="clear" w:color="auto" w:fill="auto"/>
          <w:lang w:val="en-US" w:eastAsia="en-US" w:bidi="en-US"/>
        </w:rPr>
        <w:t xml:space="preserve">made an attack on the Greek territory, and the patriarch tried to see him on his return at </w:t>
      </w:r>
      <w:r>
        <w:rPr>
          <w:spacing w:val="0"/>
          <w:w w:val="100"/>
          <w:position w:val="0"/>
          <w:shd w:val="clear" w:color="auto" w:fill="auto"/>
          <w:lang w:val="de-DE" w:eastAsia="de-DE" w:bidi="de-DE"/>
        </w:rPr>
        <w:t xml:space="preserve">Kaisūm, </w:t>
      </w:r>
      <w:r>
        <w:rPr>
          <w:spacing w:val="0"/>
          <w:w w:val="100"/>
          <w:position w:val="0"/>
          <w:shd w:val="clear" w:color="auto" w:fill="auto"/>
          <w:lang w:val="en-US" w:eastAsia="en-US" w:bidi="en-US"/>
        </w:rPr>
        <w:t>but the caliph had hurried on to Damascus, whither Dionysius followed him and accompanied him to Egypt on a mission to the Bashmuric Copts, who were then in rebellion. Any efforts of his and of the Egyptian patriarch were, however, of no avail, and the unfortunate rebels suffered the last horrors of war</w:t>
      </w:r>
    </w:p>
    <w:p>
      <w:pPr>
        <w:pStyle w:val="Style9"/>
        <w:keepNext w:val="0"/>
        <w:keepLines w:val="0"/>
        <w:widowControl w:val="0"/>
        <w:shd w:val="clear" w:color="auto" w:fill="auto"/>
        <w:tabs>
          <w:tab w:pos="272" w:val="left"/>
        </w:tabs>
        <w:bidi w:val="0"/>
        <w:spacing w:line="192" w:lineRule="auto"/>
        <w:ind w:left="0" w:firstLine="360"/>
        <w:jc w:val="left"/>
      </w:pP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iii. 1,111-113. By the “ theology ” of Gregory Nazianzen are probably</w:t>
      </w:r>
    </w:p>
    <w:p>
      <w:pPr>
        <w:pStyle w:val="Style9"/>
        <w:keepNext w:val="0"/>
        <w:keepLines w:val="0"/>
        <w:widowControl w:val="0"/>
        <w:shd w:val="clear" w:color="auto" w:fill="auto"/>
        <w:tabs>
          <w:tab w:pos="2488" w:val="left"/>
        </w:tabs>
        <w:bidi w:val="0"/>
        <w:spacing w:line="192" w:lineRule="auto"/>
        <w:ind w:left="0" w:firstLine="0"/>
        <w:jc w:val="left"/>
      </w:pPr>
      <w:r>
        <w:rPr>
          <w:spacing w:val="0"/>
          <w:w w:val="100"/>
          <w:position w:val="0"/>
          <w:shd w:val="clear" w:color="auto" w:fill="auto"/>
          <w:lang w:val="en-US" w:eastAsia="en-US" w:bidi="en-US"/>
        </w:rPr>
        <w:t xml:space="preserve">meant the discourses bearing the title </w:t>
      </w:r>
      <w:r>
        <w:rPr>
          <w:i/>
          <w:iCs/>
          <w:spacing w:val="0"/>
          <w:w w:val="100"/>
          <w:position w:val="0"/>
          <w:shd w:val="clear" w:color="auto" w:fill="auto"/>
          <w:lang w:val="la-001" w:eastAsia="la-001" w:bidi="la-001"/>
        </w:rPr>
        <w:t xml:space="preserve">Theologica </w:t>
      </w:r>
      <w:r>
        <w:rPr>
          <w:i/>
          <w:iCs/>
          <w:spacing w:val="0"/>
          <w:w w:val="100"/>
          <w:position w:val="0"/>
          <w:shd w:val="clear" w:color="auto" w:fill="auto"/>
          <w:lang w:val="fr-FR" w:eastAsia="fr-FR" w:bidi="fr-FR"/>
        </w:rPr>
        <w:t>Prima,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&amp;c.; see, for example,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425, Nos. 22-25.</w:t>
        <w:tab/>
      </w:r>
    </w:p>
    <w:p>
      <w:pPr>
        <w:pStyle w:val="Style9"/>
        <w:keepNext w:val="0"/>
        <w:keepLines w:val="0"/>
        <w:widowControl w:val="0"/>
        <w:shd w:val="clear" w:color="auto" w:fill="auto"/>
        <w:tabs>
          <w:tab w:pos="2488" w:val="left"/>
        </w:tabs>
        <w:bidi w:val="0"/>
        <w:spacing w:line="192" w:lineRule="auto"/>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227 </w:t>
      </w:r>
      <w:r>
        <w:rPr>
          <w:i/>
          <w:iCs/>
          <w:spacing w:val="0"/>
          <w:w w:val="100"/>
          <w:position w:val="0"/>
          <w:shd w:val="clear" w:color="auto" w:fill="auto"/>
          <w:lang w:val="en-US" w:eastAsia="en-US" w:bidi="en-US"/>
        </w:rPr>
        <w:t>sq.</w:t>
      </w:r>
    </w:p>
    <w:p>
      <w:pPr>
        <w:pStyle w:val="Style9"/>
        <w:keepNext w:val="0"/>
        <w:keepLines w:val="0"/>
        <w:widowControl w:val="0"/>
        <w:shd w:val="clear" w:color="auto" w:fill="auto"/>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 Also a pupil of Abraham bar </w:t>
      </w:r>
      <w:r>
        <w:rPr>
          <w:spacing w:val="0"/>
          <w:w w:val="100"/>
          <w:position w:val="0"/>
          <w:shd w:val="clear" w:color="auto" w:fill="auto"/>
          <w:lang w:val="fr-FR" w:eastAsia="fr-FR" w:bidi="fr-FR"/>
        </w:rPr>
        <w:t xml:space="preserve">Dāshandādh </w:t>
      </w:r>
      <w:r>
        <w:rPr>
          <w:spacing w:val="0"/>
          <w:w w:val="100"/>
          <w:position w:val="0"/>
          <w:shd w:val="clear" w:color="auto" w:fill="auto"/>
          <w:lang w:val="en-US" w:eastAsia="en-US" w:bidi="en-US"/>
        </w:rPr>
        <w:t xml:space="preserve">(B.O., iii. 1, 212 note 2, 159, col. 1). He is mentioned in commendatory terms by Timothy in his encyclical letters of 790 and S05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82 col. 1, 1(54 col. 1 ; '</w:t>
      </w:r>
      <w:r>
        <w:rPr>
          <w:rStyle w:val="CharStyle3"/>
        </w:rPr>
        <w:t>Abhd-īshō</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Collectio Canonum </w:t>
      </w:r>
      <w:r>
        <w:rPr>
          <w:i/>
          <w:iCs/>
          <w:spacing w:val="0"/>
          <w:w w:val="100"/>
          <w:position w:val="0"/>
          <w:shd w:val="clear" w:color="auto" w:fill="auto"/>
          <w:lang w:val="en-US" w:eastAsia="en-US" w:bidi="en-US"/>
        </w:rPr>
        <w:t>Synodicorum,</w:t>
      </w:r>
      <w:r>
        <w:rPr>
          <w:spacing w:val="0"/>
          <w:w w:val="100"/>
          <w:position w:val="0"/>
          <w:shd w:val="clear" w:color="auto" w:fill="auto"/>
          <w:lang w:val="en-US" w:eastAsia="en-US" w:bidi="en-US"/>
        </w:rPr>
        <w:t xml:space="preserve"> ix. 6, in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x. pp. 167 col. 1, 329 col. 1). He was the author of a refutation of the </w:t>
      </w:r>
      <w:r>
        <w:rPr>
          <w:spacing w:val="0"/>
          <w:w w:val="100"/>
          <w:position w:val="0"/>
          <w:shd w:val="clear" w:color="auto" w:fill="auto"/>
          <w:lang w:val="fr-FR" w:eastAsia="fr-FR" w:bidi="fr-FR"/>
        </w:rPr>
        <w:t xml:space="preserve">Kor’ān, </w:t>
      </w:r>
      <w:r>
        <w:rPr>
          <w:spacing w:val="0"/>
          <w:w w:val="100"/>
          <w:position w:val="0"/>
          <w:shd w:val="clear" w:color="auto" w:fill="auto"/>
          <w:lang w:val="en-US" w:eastAsia="en-US" w:bidi="en-US"/>
        </w:rPr>
        <w:t>a disputation against heretics, and other useful works (B.O., iii. 1, 212), among which may be mentioned a life of the missionary John of Dailam (B.O., iii. 1, 183, col. 2).</w:t>
      </w:r>
    </w:p>
    <w:p>
      <w:pPr>
        <w:pStyle w:val="Style9"/>
        <w:keepNext w:val="0"/>
        <w:keepLines w:val="0"/>
        <w:widowControl w:val="0"/>
        <w:shd w:val="clear" w:color="auto" w:fill="auto"/>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Or, according to others, 777.</w:t>
      </w:r>
    </w:p>
    <w:p>
      <w:pPr>
        <w:pStyle w:val="Style9"/>
        <w:keepNext w:val="0"/>
        <w:keepLines w:val="0"/>
        <w:widowControl w:val="0"/>
        <w:shd w:val="clear" w:color="auto" w:fill="auto"/>
        <w:tabs>
          <w:tab w:pos="2882"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216 </w:t>
      </w:r>
      <w:r>
        <w:rPr>
          <w:i/>
          <w:iCs/>
          <w:spacing w:val="0"/>
          <w:w w:val="100"/>
          <w:position w:val="0"/>
          <w:shd w:val="clear" w:color="auto" w:fill="auto"/>
          <w:lang w:val="en-US" w:eastAsia="en-US" w:bidi="en-US"/>
        </w:rPr>
        <w:t>sq.</w:t>
        <w:tab/>
      </w:r>
    </w:p>
    <w:p>
      <w:pPr>
        <w:pStyle w:val="Style9"/>
        <w:keepNext w:val="0"/>
        <w:keepLines w:val="0"/>
        <w:widowControl w:val="0"/>
        <w:shd w:val="clear" w:color="auto" w:fill="auto"/>
        <w:tabs>
          <w:tab w:pos="2882" w:val="left"/>
        </w:tabs>
        <w:bidi w:val="0"/>
        <w:spacing w:line="192" w:lineRule="auto"/>
        <w:ind w:left="0" w:firstLine="360"/>
        <w:jc w:val="left"/>
      </w:pP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iii. 1, 207.</w:t>
      </w:r>
    </w:p>
    <w:p>
      <w:pPr>
        <w:pStyle w:val="Style9"/>
        <w:keepNext w:val="0"/>
        <w:keepLines w:val="0"/>
        <w:widowControl w:val="0"/>
        <w:shd w:val="clear" w:color="auto" w:fill="auto"/>
        <w:tabs>
          <w:tab w:pos="234"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ab/>
        <w:t xml:space="preserve">we need not believe all the evil that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tells us of this unhappy man,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171 </w:t>
      </w:r>
      <w:r>
        <w:rPr>
          <w:i/>
          <w:iCs/>
          <w:spacing w:val="0"/>
          <w:w w:val="100"/>
          <w:position w:val="0"/>
          <w:shd w:val="clear" w:color="auto" w:fill="auto"/>
          <w:lang w:val="en-US" w:eastAsia="en-US" w:bidi="en-US"/>
        </w:rPr>
        <w:t>sq.</w:t>
      </w:r>
    </w:p>
    <w:p>
      <w:pPr>
        <w:pStyle w:val="Style9"/>
        <w:keepNext w:val="0"/>
        <w:keepLines w:val="0"/>
        <w:widowControl w:val="0"/>
        <w:shd w:val="clear" w:color="auto" w:fill="auto"/>
        <w:tabs>
          <w:tab w:pos="227"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ab/>
        <w:t xml:space="preserve">See the whole miserable story told in full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433, iii. 1,158-160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165-169.</w:t>
      </w:r>
    </w:p>
    <w:p>
      <w:pPr>
        <w:pStyle w:val="Style9"/>
        <w:keepNext w:val="0"/>
        <w:keepLines w:val="0"/>
        <w:widowControl w:val="0"/>
        <w:shd w:val="clear" w:color="auto" w:fill="auto"/>
        <w:tabs>
          <w:tab w:pos="279"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9</w:t>
        <w:tab/>
        <w:t xml:space="preserve">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64,131.</w:t>
      </w:r>
    </w:p>
    <w:p>
      <w:pPr>
        <w:pStyle w:val="Style9"/>
        <w:keepNext w:val="0"/>
        <w:keepLines w:val="0"/>
        <w:widowControl w:val="0"/>
        <w:shd w:val="clear" w:color="auto" w:fill="auto"/>
        <w:tabs>
          <w:tab w:pos="318"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169;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433.</w:t>
      </w:r>
    </w:p>
    <w:p>
      <w:pPr>
        <w:pStyle w:val="Style9"/>
        <w:keepNext w:val="0"/>
        <w:keepLines w:val="0"/>
        <w:widowControl w:val="0"/>
        <w:shd w:val="clear" w:color="auto" w:fill="auto"/>
        <w:tabs>
          <w:tab w:pos="277" w:val="left"/>
        </w:tabs>
        <w:bidi w:val="0"/>
        <w:spacing w:line="192" w:lineRule="auto"/>
        <w:ind w:left="0" w:firstLine="360"/>
        <w:jc w:val="left"/>
      </w:pPr>
      <w:r>
        <w:rPr>
          <w:i/>
          <w:iCs/>
          <w:spacing w:val="0"/>
          <w:w w:val="100"/>
          <w:position w:val="0"/>
          <w:shd w:val="clear" w:color="auto" w:fill="auto"/>
          <w:vertAlign w:val="superscript"/>
          <w:lang w:val="en-US" w:eastAsia="en-US" w:bidi="en-US"/>
        </w:rPr>
        <w:t>@@@II</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iii. 1,160. Compare Chwolson’s interesting memoir “ </w:t>
      </w:r>
      <w:r>
        <w:rPr>
          <w:spacing w:val="0"/>
          <w:w w:val="100"/>
          <w:position w:val="0"/>
          <w:shd w:val="clear" w:color="auto" w:fill="auto"/>
          <w:lang w:val="de-DE" w:eastAsia="de-DE" w:bidi="de-DE"/>
        </w:rPr>
        <w:t>Syrische Grab</w:t>
        <w:softHyphen/>
        <w:t xml:space="preserve">inschriften aus </w:t>
      </w:r>
      <w:r>
        <w:rPr>
          <w:spacing w:val="0"/>
          <w:w w:val="100"/>
          <w:position w:val="0"/>
          <w:shd w:val="clear" w:color="auto" w:fill="auto"/>
          <w:lang w:val="en-US" w:eastAsia="en-US" w:bidi="en-US"/>
        </w:rPr>
        <w:t xml:space="preserve">Semιrjetschie ” (west of the Chinese province of Kuldja, more correctly Kulja), in </w:t>
      </w:r>
      <w:r>
        <w:rPr>
          <w:i/>
          <w:iCs/>
          <w:spacing w:val="0"/>
          <w:w w:val="100"/>
          <w:position w:val="0"/>
          <w:shd w:val="clear" w:color="auto" w:fill="auto"/>
          <w:lang w:val="fr-FR" w:eastAsia="fr-FR" w:bidi="fr-FR"/>
        </w:rPr>
        <w:t xml:space="preserve">Mém. de </w:t>
      </w:r>
      <w:r>
        <w:rPr>
          <w:i/>
          <w:iCs/>
          <w:spacing w:val="0"/>
          <w:w w:val="100"/>
          <w:position w:val="0"/>
          <w:shd w:val="clear" w:color="auto" w:fill="auto"/>
          <w:lang w:val="en-US" w:eastAsia="en-US" w:bidi="en-US"/>
        </w:rPr>
        <w:t xml:space="preserve">l'Acad. Imp.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 xml:space="preserve">Sc.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St. Pitersb.,</w:t>
      </w:r>
      <w:r>
        <w:rPr>
          <w:spacing w:val="0"/>
          <w:w w:val="100"/>
          <w:position w:val="0"/>
          <w:shd w:val="clear" w:color="auto" w:fill="auto"/>
          <w:lang w:val="en-US" w:eastAsia="en-US" w:bidi="en-US"/>
        </w:rPr>
        <w:t xml:space="preserve"> 7th ser., vol. xxxiv., No. 4. The oldest of these tombstones is dated A. Gr. 1169 = 858 Am., and marked ‘ ‘ the grave of Mengku-tenesh the believer ” (p. 7) ; but most of them belong to the 13th and 14th centuries.</w:t>
      </w:r>
    </w:p>
    <w:p>
      <w:pPr>
        <w:pStyle w:val="Style9"/>
        <w:keepNext w:val="0"/>
        <w:keepLines w:val="0"/>
        <w:widowControl w:val="0"/>
        <w:shd w:val="clear" w:color="auto" w:fill="auto"/>
        <w:tabs>
          <w:tab w:pos="2586"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12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434 ; iii. 1,160.</w:t>
        <w:tab/>
      </w:r>
    </w:p>
    <w:p>
      <w:pPr>
        <w:pStyle w:val="Style9"/>
        <w:keepNext w:val="0"/>
        <w:keepLines w:val="0"/>
        <w:widowControl w:val="0"/>
        <w:shd w:val="clear" w:color="auto" w:fill="auto"/>
        <w:tabs>
          <w:tab w:pos="2586"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13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1,162-163.</w:t>
      </w:r>
    </w:p>
    <w:p>
      <w:pPr>
        <w:pStyle w:val="Style9"/>
        <w:keepNext w:val="0"/>
        <w:keepLines w:val="0"/>
        <w:widowControl w:val="0"/>
        <w:shd w:val="clear" w:color="auto" w:fill="auto"/>
        <w:tabs>
          <w:tab w:pos="281" w:val="left"/>
        </w:tabs>
        <w:bidi w:val="0"/>
        <w:spacing w:line="192" w:lineRule="auto"/>
        <w:ind w:left="0" w:firstLine="360"/>
        <w:jc w:val="left"/>
      </w:pPr>
      <w:r>
        <w:rPr>
          <w:i/>
          <w:iCs/>
          <w:spacing w:val="0"/>
          <w:w w:val="100"/>
          <w:position w:val="0"/>
          <w:shd w:val="clear" w:color="auto" w:fill="auto"/>
          <w:vertAlign w:val="superscript"/>
          <w:lang w:val="en-US" w:eastAsia="en-US" w:bidi="en-US"/>
        </w:rPr>
        <w:t xml:space="preserve">@@@14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179. He is probably the author of the hymn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7156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13, col. 1, 1) and Paris,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56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9, col. 1, i).</w:t>
      </w:r>
    </w:p>
    <w:p>
      <w:pPr>
        <w:pStyle w:val="Style9"/>
        <w:keepNext w:val="0"/>
        <w:keepLines w:val="0"/>
        <w:widowControl w:val="0"/>
        <w:shd w:val="clear" w:color="auto" w:fill="auto"/>
        <w:tabs>
          <w:tab w:pos="277" w:val="left"/>
        </w:tabs>
        <w:bidi w:val="0"/>
        <w:spacing w:line="192"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 xml:space="preserve">15 </w:t>
      </w:r>
      <w:r>
        <w:rPr>
          <w:spacing w:val="0"/>
          <w:w w:val="100"/>
          <w:position w:val="0"/>
          <w:shd w:val="clear" w:color="auto" w:fill="auto"/>
          <w:lang w:val="en-US" w:eastAsia="en-US" w:bidi="en-US"/>
        </w:rPr>
        <w:t xml:space="preserve">See 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2, No. 3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Ecdes.,</w:t>
      </w:r>
      <w:r>
        <w:rPr>
          <w:spacing w:val="0"/>
          <w:w w:val="100"/>
          <w:position w:val="0"/>
          <w:shd w:val="clear" w:color="auto" w:fill="auto"/>
          <w:lang w:val="en-US" w:eastAsia="en-US" w:bidi="en-US"/>
        </w:rPr>
        <w:t xml:space="preserve"> ii. 152 note 2, 154 note 1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writes “the abbots of the great convent”).</w:t>
      </w:r>
    </w:p>
    <w:p>
      <w:pPr>
        <w:pStyle w:val="Style9"/>
        <w:keepNext w:val="0"/>
        <w:keepLines w:val="0"/>
        <w:widowControl w:val="0"/>
        <w:shd w:val="clear" w:color="auto" w:fill="auto"/>
        <w:tabs>
          <w:tab w:pos="2423"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16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195.</w:t>
        <w:tab/>
      </w:r>
    </w:p>
    <w:p>
      <w:pPr>
        <w:pStyle w:val="Style9"/>
        <w:keepNext w:val="0"/>
        <w:keepLines w:val="0"/>
        <w:widowControl w:val="0"/>
        <w:shd w:val="clear" w:color="auto" w:fill="auto"/>
        <w:tabs>
          <w:tab w:pos="2423"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 2.</w:t>
      </w:r>
    </w:p>
    <w:p>
      <w:pPr>
        <w:pStyle w:val="Style9"/>
        <w:keepNext w:val="0"/>
        <w:keepLines w:val="0"/>
        <w:widowControl w:val="0"/>
        <w:shd w:val="clear" w:color="auto" w:fill="auto"/>
        <w:tabs>
          <w:tab w:pos="277" w:val="left"/>
        </w:tabs>
        <w:bidi w:val="0"/>
        <w:spacing w:line="199" w:lineRule="auto"/>
        <w:ind w:left="0" w:firstLine="360"/>
        <w:jc w:val="left"/>
      </w:pPr>
      <w:r>
        <w:rPr>
          <w:rFonts w:ascii="Arial" w:eastAsia="Arial" w:hAnsi="Arial" w:cs="Arial"/>
          <w:spacing w:val="0"/>
          <w:w w:val="100"/>
          <w:position w:val="0"/>
          <w:sz w:val="8"/>
          <w:szCs w:val="8"/>
          <w:shd w:val="clear" w:color="auto" w:fill="auto"/>
          <w:lang w:val="en-US" w:eastAsia="en-US" w:bidi="en-US"/>
        </w:rPr>
        <w:t>1</w:t>
      </w: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8</w:t>
        <w:tab/>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333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195, note 4 (where 695 is a mistake for 793). See also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42 note 2, 114 note 1, 122 note 1, 127 note 3, 138 notes 1, 2, 140 note 1.</w:t>
      </w:r>
    </w:p>
    <w:p>
      <w:pPr>
        <w:pStyle w:val="Style9"/>
        <w:keepNext w:val="0"/>
        <w:keepLines w:val="0"/>
        <w:widowControl w:val="0"/>
        <w:shd w:val="clear" w:color="auto" w:fill="auto"/>
        <w:tabs>
          <w:tab w:pos="338"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19</w:t>
        <w:tab/>
        <w:t xml:space="preserve">See Hoffmann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xxxii. (1878), p. 742, note 2.</w:t>
      </w:r>
    </w:p>
    <w:p>
      <w:pPr>
        <w:pStyle w:val="Style9"/>
        <w:keepNext w:val="0"/>
        <w:keepLines w:val="0"/>
        <w:widowControl w:val="0"/>
        <w:shd w:val="clear" w:color="auto" w:fill="auto"/>
        <w:tabs>
          <w:tab w:pos="338"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20</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347-349.</w:t>
      </w:r>
    </w:p>
    <w:p>
      <w:pPr>
        <w:pStyle w:val="Style9"/>
        <w:keepNext w:val="0"/>
        <w:keepLines w:val="0"/>
        <w:widowControl w:val="0"/>
        <w:shd w:val="clear" w:color="auto" w:fill="auto"/>
        <w:tabs>
          <w:tab w:pos="274"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21</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345, col. 1, where the rebuilding of it by Dionysius is mentioned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355, at the top.</w:t>
      </w:r>
    </w:p>
    <w:p>
      <w:pPr>
        <w:pStyle w:val="Style9"/>
        <w:keepNext w:val="0"/>
        <w:keepLines w:val="0"/>
        <w:widowControl w:val="0"/>
        <w:shd w:val="clear" w:color="auto" w:fill="auto"/>
        <w:tabs>
          <w:tab w:pos="284"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22</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347-349. A previous residence at the con</w:t>
        <w:softHyphen/>
        <w:t xml:space="preserve">vent of Zuknin near </w:t>
      </w:r>
      <w:r>
        <w:rPr>
          <w:rStyle w:val="CharStyle3"/>
        </w:rPr>
        <w:t>Ā</w:t>
      </w:r>
      <w:r>
        <w:rPr>
          <w:rStyle w:val="CharStyle3"/>
          <w:lang w:val="fr-FR" w:eastAsia="fr-FR" w:bidi="fr-FR"/>
        </w:rPr>
        <w:t>mid</w:t>
      </w:r>
      <w:r>
        <w:rPr>
          <w:spacing w:val="0"/>
          <w:w w:val="100"/>
          <w:position w:val="0"/>
          <w:shd w:val="clear" w:color="auto" w:fill="auto"/>
          <w:lang w:val="en-US" w:eastAsia="en-US" w:bidi="en-US"/>
        </w:rPr>
        <w:t xml:space="preserve"> (B.O., ii. 98, col. 2) is uncertain, as the words </w:t>
      </w:r>
      <w:r>
        <w:rPr>
          <w:i/>
          <w:iCs/>
          <w:spacing w:val="0"/>
          <w:w w:val="100"/>
          <w:position w:val="0"/>
          <w:shd w:val="clear" w:color="auto" w:fill="auto"/>
          <w:lang w:val="en-US" w:eastAsia="en-US" w:bidi="en-US"/>
        </w:rPr>
        <w:t>daira dhilan</w:t>
      </w:r>
      <w:r>
        <w:rPr>
          <w:spacing w:val="0"/>
          <w:w w:val="100"/>
          <w:position w:val="0"/>
          <w:shd w:val="clear" w:color="auto" w:fill="auto"/>
          <w:lang w:val="en-US" w:eastAsia="en-US" w:bidi="en-US"/>
        </w:rPr>
        <w:t xml:space="preserve"> probably mean no more than “ the convent of us Jacobites.”</w:t>
      </w:r>
    </w:p>
    <w:p>
      <w:pPr>
        <w:pStyle w:val="Style9"/>
        <w:keepNext w:val="0"/>
        <w:keepLines w:val="0"/>
        <w:widowControl w:val="0"/>
        <w:shd w:val="clear" w:color="auto" w:fill="auto"/>
        <w:tabs>
          <w:tab w:pos="338" w:val="left"/>
          <w:tab w:pos="3496"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347, last line.</w:t>
        <w:tab/>
      </w:r>
    </w:p>
    <w:p>
      <w:pPr>
        <w:pStyle w:val="Style9"/>
        <w:keepNext w:val="0"/>
        <w:keepLines w:val="0"/>
        <w:widowControl w:val="0"/>
        <w:shd w:val="clear" w:color="auto" w:fill="auto"/>
        <w:tabs>
          <w:tab w:pos="338" w:val="left"/>
          <w:tab w:pos="3496" w:val="left"/>
        </w:tabs>
        <w:bidi w:val="0"/>
        <w:spacing w:line="199" w:lineRule="auto"/>
        <w:ind w:left="0" w:firstLine="360"/>
        <w:jc w:val="left"/>
      </w:pPr>
      <w:r>
        <w:rPr>
          <w:i/>
          <w:iCs/>
          <w:spacing w:val="0"/>
          <w:w w:val="100"/>
          <w:position w:val="0"/>
          <w:shd w:val="clear" w:color="auto" w:fill="auto"/>
          <w:vertAlign w:val="superscript"/>
          <w:lang w:val="en-US" w:eastAsia="en-US" w:bidi="en-US"/>
        </w:rPr>
        <w:t>@@@ii</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 347.</w:t>
      </w:r>
    </w:p>
    <w:p>
      <w:pPr>
        <w:pStyle w:val="Style9"/>
        <w:keepNext w:val="0"/>
        <w:keepLines w:val="0"/>
        <w:widowControl w:val="0"/>
        <w:shd w:val="clear" w:color="auto" w:fill="auto"/>
        <w:tabs>
          <w:tab w:pos="277"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355-357;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345. Abraham died in 837, and was succeeded by his brother Simeon as anti-patriarch.</w:t>
      </w:r>
    </w:p>
    <w:p>
      <w:pPr>
        <w:pStyle w:val="Style9"/>
        <w:keepNext w:val="0"/>
        <w:keepLines w:val="0"/>
        <w:widowControl w:val="0"/>
        <w:shd w:val="clear" w:color="auto" w:fill="auto"/>
        <w:tabs>
          <w:tab w:pos="342"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26</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353.</w:t>
      </w:r>
    </w:p>
    <w:p>
      <w:pPr>
        <w:pStyle w:val="Style9"/>
        <w:keepNext w:val="0"/>
        <w:keepLines w:val="0"/>
        <w:widowControl w:val="0"/>
        <w:shd w:val="clear" w:color="auto" w:fill="auto"/>
        <w:tabs>
          <w:tab w:pos="277"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spacing w:val="0"/>
          <w:w w:val="100"/>
          <w:position w:val="0"/>
          <w:shd w:val="clear" w:color="auto" w:fill="auto"/>
          <w:lang w:val="de-DE" w:eastAsia="de-DE" w:bidi="de-DE"/>
        </w:rPr>
        <w:t xml:space="preserve">Wūstenfeld,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Statthalter von Aegypten,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lte Abth., p. 32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Sacy </w:t>
      </w:r>
      <w:r>
        <w:rPr>
          <w:i/>
          <w:iCs/>
          <w:spacing w:val="0"/>
          <w:w w:val="100"/>
          <w:position w:val="0"/>
          <w:shd w:val="clear" w:color="auto" w:fill="auto"/>
          <w:lang w:val="en-US" w:eastAsia="en-US" w:bidi="en-US"/>
        </w:rPr>
        <w:t xml:space="preserve">Relation </w:t>
      </w:r>
      <w:r>
        <w:rPr>
          <w:i/>
          <w:iCs/>
          <w:spacing w:val="0"/>
          <w:w w:val="100"/>
          <w:position w:val="0"/>
          <w:shd w:val="clear" w:color="auto" w:fill="auto"/>
          <w:lang w:val="fr-FR" w:eastAsia="fr-FR" w:bidi="fr-FR"/>
        </w:rPr>
        <w:t xml:space="preserve">de l’Égypte </w:t>
      </w:r>
      <w:r>
        <w:rPr>
          <w:i/>
          <w:iCs/>
          <w:spacing w:val="0"/>
          <w:w w:val="100"/>
          <w:position w:val="0"/>
          <w:shd w:val="clear" w:color="auto" w:fill="auto"/>
          <w:lang w:val="en-US" w:eastAsia="en-US" w:bidi="en-US"/>
        </w:rPr>
        <w:t>par Abd-allatif,</w:t>
      </w:r>
      <w:r>
        <w:rPr>
          <w:spacing w:val="0"/>
          <w:w w:val="100"/>
          <w:position w:val="0"/>
          <w:shd w:val="clear" w:color="auto" w:fill="auto"/>
          <w:lang w:val="en-US" w:eastAsia="en-US" w:bidi="en-US"/>
        </w:rPr>
        <w:t xml:space="preserve"> pp. 501-508 and 552-557.</w:t>
      </w:r>
    </w:p>
    <w:p>
      <w:pPr>
        <w:pStyle w:val="Style9"/>
        <w:keepNext w:val="0"/>
        <w:keepLines w:val="0"/>
        <w:widowControl w:val="0"/>
        <w:shd w:val="clear" w:color="auto" w:fill="auto"/>
        <w:tabs>
          <w:tab w:pos="338" w:val="left"/>
          <w:tab w:pos="3226"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28</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359.</w:t>
        <w:tab/>
      </w:r>
    </w:p>
    <w:p>
      <w:pPr>
        <w:pStyle w:val="Style9"/>
        <w:keepNext w:val="0"/>
        <w:keepLines w:val="0"/>
        <w:widowControl w:val="0"/>
        <w:shd w:val="clear" w:color="auto" w:fill="auto"/>
        <w:tabs>
          <w:tab w:pos="338" w:val="left"/>
          <w:tab w:pos="3226"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369.</w:t>
      </w:r>
    </w:p>
    <w:p>
      <w:pPr>
        <w:pStyle w:val="Style9"/>
        <w:keepNext w:val="0"/>
        <w:keepLines w:val="0"/>
        <w:widowControl w:val="0"/>
        <w:shd w:val="clear" w:color="auto" w:fill="auto"/>
        <w:tabs>
          <w:tab w:pos="1620" w:val="left"/>
          <w:tab w:pos="3226" w:val="left"/>
        </w:tabs>
        <w:bidi w:val="0"/>
        <w:spacing w:line="199" w:lineRule="auto"/>
        <w:ind w:left="0" w:firstLine="360"/>
        <w:jc w:val="left"/>
      </w:pPr>
      <w:r>
        <w:rPr>
          <w:i/>
          <w:iCs/>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30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363.</w:t>
        <w:tab/>
      </w:r>
    </w:p>
    <w:p>
      <w:pPr>
        <w:pStyle w:val="Style9"/>
        <w:keepNext w:val="0"/>
        <w:keepLines w:val="0"/>
        <w:widowControl w:val="0"/>
        <w:shd w:val="clear" w:color="auto" w:fill="auto"/>
        <w:tabs>
          <w:tab w:pos="1620" w:val="left"/>
          <w:tab w:pos="3226" w:val="left"/>
        </w:tabs>
        <w:bidi w:val="0"/>
        <w:spacing w:line="199" w:lineRule="auto"/>
        <w:ind w:left="0" w:firstLine="360"/>
        <w:jc w:val="left"/>
      </w:pPr>
      <w:r>
        <w:rPr>
          <w:i/>
          <w:iCs/>
          <w:spacing w:val="0"/>
          <w:w w:val="100"/>
          <w:position w:val="0"/>
          <w:shd w:val="clear" w:color="auto" w:fill="auto"/>
          <w:vertAlign w:val="superscript"/>
          <w:lang w:val="en-US" w:eastAsia="en-US" w:bidi="en-US"/>
        </w:rPr>
        <w:t>@@@31</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 365.</w:t>
        <w:tab/>
      </w:r>
    </w:p>
    <w:p>
      <w:pPr>
        <w:pStyle w:val="Style9"/>
        <w:keepNext w:val="0"/>
        <w:keepLines w:val="0"/>
        <w:widowControl w:val="0"/>
        <w:shd w:val="clear" w:color="auto" w:fill="auto"/>
        <w:tabs>
          <w:tab w:pos="1620" w:val="left"/>
          <w:tab w:pos="3226" w:val="left"/>
        </w:tabs>
        <w:bidi w:val="0"/>
        <w:spacing w:line="199" w:lineRule="auto"/>
        <w:ind w:left="0" w:firstLine="360"/>
        <w:jc w:val="left"/>
      </w:pPr>
      <w:r>
        <w:rPr>
          <w:i/>
          <w:iCs/>
          <w:spacing w:val="0"/>
          <w:w w:val="100"/>
          <w:position w:val="0"/>
          <w:shd w:val="clear" w:color="auto" w:fill="auto"/>
          <w:vertAlign w:val="superscript"/>
          <w:lang w:val="en-US" w:eastAsia="en-US" w:bidi="en-US"/>
        </w:rPr>
        <w:t>@@@32</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 365-371.</w:t>
      </w:r>
    </w:p>
    <w:p>
      <w:pPr>
        <w:widowControl w:val="0"/>
        <w:spacing w:line="1" w:lineRule="exact"/>
      </w:pPr>
    </w:p>
    <w:sectPr>
      <w:footnotePr>
        <w:pos w:val="pageBottom"/>
        <w:numFmt w:val="decimal"/>
        <w:numRestart w:val="continuous"/>
      </w:footnotePr>
      <w:type w:val="continuous"/>
      <w:pgSz w:w="12240" w:h="16840"/>
      <w:pgMar w:top="1348" w:left="1580" w:right="1300"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