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Genesis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survives, though imperfect, in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17274,@@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there are extracts from them in 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Ancien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p.156), and Bodl. Marsh.101 (P. 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462). The Gospels and Pauline epistles (imperfect) are contained in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17274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,p. 620), the latter only in BodL Or. 703 (P. 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410) and Bodl. Marsh. 86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p. 418). His treatise on the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Hexaemeron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five books@@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preserved to us in the Paris MS.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120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197), and there are extracts from it in two other MSS.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pp. 157, 159). The work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 Paradiso,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three parts, dedicated to his friend Ignatius 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(?),@@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known to us only through the Latin translation of Andreas Masius, 1569.@@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treatise on the soul@@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survives in Cod. Vat. cxlvii.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273-274) ; it consists of 40 chapters, with a supplementary chapter to show that the dead are profited by offer</w:t>
        <w:softHyphen/>
        <w:t xml:space="preserve">ings made on their behalf. That on predestination and freewill, in four discourses, is extant in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14731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853).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Disputations against Heresies,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spoken of by Moses’s biographer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218, col. 2, is probably identical with the work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Sects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mentioned by Assemani at p. 131, No. 7.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Festal Homilies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whole year@@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extant in several MSS.,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e.g.,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877) and 17188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(ibid.,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621), 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 and 123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pp. 156, 159).@@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Besides these we have four funeral sermons,@@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ad</w:t>
        <w:softHyphen/>
        <w:t>monitory discourse to the children of the holy orthodox church,@@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9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a discourse showing why the Messiah is called by various epithets and names.@@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Moses also wrote expositions of the sacra</w:t>
        <w:softHyphen/>
        <w:t>ments of the church, such as on the holy chrism, in 50 chapters, Cod. Vat. cxlvii.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274) and 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123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(Zoten</w:t>
        <w:softHyphen/>
        <w:t xml:space="preserve">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159),@@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 which is connected the discourse on the consecration of the chrism in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879); on baptism, addressed to his friend Ignatius, in 24 chapters, Cod. Vat. cxlvii.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276), in connexion with which we may take the discourse on the mysteries of baptism in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loc. cit.)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on baptism in Cod. Vat. xcvi.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522)@@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exposition of the liturgy,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879) and Berlin,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62 (?) ; further, exposi</w:t>
        <w:softHyphen/>
        <w:t>tions of the mysteries in the various ordinations, Cod. Vat. li.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320)@@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on the ordination of bishops, priests, and deacons,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879); on the tonsure of monks,@@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Cod. Vat. li.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322).@@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also compiled two anaphora,@@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of which has been translated by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Renaudot,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 391. Lastly, Moses bar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Kēphā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the author of a commentary on the dialectics of Aristotle, mentioned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215, and of a commentary on the works of Gregory Nazianzen, and an ecclesiastical history, mentioned by his bio</w:t>
        <w:softHyphen/>
        <w:t xml:space="preserve">grapher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218, col. 2. The loss of this last book is to be regretted.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contemporary Nestorian writers of mark are hardly more numerous.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this century the foundations of Syriac lexicography were laid by the famous physician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Zaid Honain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ihn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Ishāk al-'Ibādī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Hērtā (al-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Ḥī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rah).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applied himself to medicine at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Yahyā,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Yuhannā,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Māsawaihi (Māsuyah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Mesue) ; but an ill-feeling soon sprang up between teacher and pupil, and Honain took his departure for the Grecian territory, where he spent a couple of years in acquainting himself with the Greek language and its scientific literature. He afterwards became physician to the caliph al-Mutawakkil. His downfall and excommunication were meanly brought about by a fellow-Christian of the same pro</w:t>
        <w:softHyphen/>
        <w:t xml:space="preserve">fession,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Isrā’il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at-Taifūrī,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Honain died soon after, 260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A.H.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=873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A.D.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18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Honain composed most of his original works in Arabic, and likewise many of his translations from the Greek. 'Abhd-īshō' mentions but three books of his,@@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viz., a book on the fear of God (which he wrote as a deacon of the church), a Syriac grammar, and a compendious Syriac lexicon. The lexicon has no doubt been in great part absorbed into the later works of Bar 'Ali and Bar Bahlul.@@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 The grammar seems to have been entitled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Kc-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thàbhā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dhe-N^akze,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the ‘ ‘ Book of (Diacritical) Points.” It is cited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Aιψ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,r Raze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by Elias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Tīrhān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his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grammar.@@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Honain also wrote a treatise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Synonyms,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whether they be “ voces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æquilitteræ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” (as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réghīz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raggiz)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not (as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'ākéthā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karyuthā).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Extracts from this work have been preserved J;o us by a later compiler, who made use also of the canons of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Anan-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ishō'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Hedhaiyabh@@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(see above, p. 843). In Cod. Vat. ccxvii.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504) there are excerpts from a medical treatise of Honain, but no title is given.@@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Honain, his son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Ishāk,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his nephew Hobaish ibn al-Hasan al-A'sam (“ Stiff-wrist ”) were among the earliest and ablest of those Christians, chiefly Nestorians, ιvho, during the 9th and 10th centuries, making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their head</w:t>
        <w:softHyphen/>
        <w:t>quarters, supplied Muhammadan scholars with nearly everything that they knew of Greek science, whether medicine, mathematics, or philosophy. As a rule, they translated the Greek first into Syriac and afterwards into Arabic ; but their Syriac versions have unfortunately, as it would appear, perished, without exception.@@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elder contemporary of Honain was Gabriel bar Bōkht-ishō', in Arabic Jabra’il ibn Bakhtishιι' (or rather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Bokhtīshū'),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member of a family of renowned physicians, beginning with George bar Bōkht-ishō'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Gundē-Shābhōr,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whom we have mentioned above (p. 844). He was in practice at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791, and attended on Ja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far 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Yahyā al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-Barmaki,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became court physician to ar- Rashid, and maintained this position, with various vicissitudes, till his death in 828.@@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'Abhd-īshō' says that he was the author of a Syriac lexicon,@@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our reason for giving him a place here, but no such work is mentioned by the other authorities to whom we have referred.@@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Ishō'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Marūzāyā,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Arabic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'Isa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al-Marwazi, from the city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Marri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Merv, little is known to us beyond the fact that he com</w:t>
        <w:softHyphen/>
        <w:t>piled a Syriac lexicon, which was one of the two principal authori</w:t>
        <w:softHyphen/>
        <w:t>ties made use of by Bar 'Ali.@@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he should be identical with the physician al-Marwazi, who lived about 567,@@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seems wholly un</w:t>
        <w:softHyphen/>
        <w:t xml:space="preserve">likely. We might rather venture to identify him with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Abu Yahyā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al-Marwazi, who was an eminent Syrian physician at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wrote in Syriac upon logic and other subjects, and was one of the teachers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Mattā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Yaunān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Yunus (who died in 940).@@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any case,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'Isā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al-Marwazi seems to have flourished during the latter part of the 9th century, and therefore to have been a contemporary of Bar ' Ali. _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Ishō', or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'Isā,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bar 'Ali is stated in Cod. Vat. ccxvii.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504, No.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XV.)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have been a pupil of Honain. His father 'Ali and his uncle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'Isā,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sons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Dā’ūd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David, were appointed by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Sabhr-īshō' II. (832-836) to the charge of the college founded by him in the convent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Pethiōn at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 xml:space="preserve">32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Bar 'All’s lexicon is dedicated to a deacon named Abraham,@@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who made certain additions to it after the death of the author.@@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Ishō' bar Nōn was a native of the village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th-Gabbārē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near Mosul. He was a pupil of Abraham bar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Dāshandādh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(see above, p. 844) at the same time with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Abù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Nūh al-Anbāri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(see above, p. 845, note 3) and Timothy, his predecessor in the dignity of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(see above, p. 845). He retired first to the convent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Abraham on Mount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Izlā,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he devoted himself to study and to refuting the views and writings of his schoolfellow and subsequent diocesan Timothy, whom he spitefully called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alem∙otheos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(“the wronger of God ”) instead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Timotlιeos.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consequence of a dispute with the monks he left Mount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Izlā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went for some months to Bagh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he stayed at the house of George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Māsawaihi (Māsuyah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Mesue) and taught his son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Yahyā.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35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then returned to Mosul, where he took up his residence in the convent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Elias, and lived there for thirty years, till the death of Timothy.@@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Through the influence of Gabriel bar Bōkht-ishō' (see above) and his son- in-law Michael bar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Māsawaihi (Māsuyah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Mesue), the physician of the caliph al-Ma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mιιn, he was appointed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A.Gr. 1135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78" w:val="left"/>
          <w:tab w:pos="3175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@@@1 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620.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78" w:val="left"/>
          <w:tab w:pos="3175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@@@2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128, No. 1.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78" w:val="left"/>
          <w:tab w:pos="3175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218, col. 2.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85" w:val="left"/>
          <w:tab w:pos="3182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@@@4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128, No. 2.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85" w:val="left"/>
          <w:tab w:pos="3182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131, No. 6.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85" w:val="left"/>
          <w:tab w:pos="3182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131, No. 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@@@7 See also Cod. Vat. clix.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316-317); on the Ascension, Cod. Vat.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67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cxlvii.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276).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667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@@@8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17188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622).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@@@9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21210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879).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17188 (Wright,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622).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π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Paris MS.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Ancien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 contains another redaction in 36 chapters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157).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8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@@@12</w:t>
        <w:tab/>
        <w:t xml:space="preserve">See also Cod. Vat. ccccxi., in 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Scriρtt.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Fett.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Nova Coll.,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5" w:val="left"/>
          <w:tab w:pos="2934" w:val="left"/>
        </w:tabs>
        <w:bidi w:val="0"/>
        <w:spacing w:line="192" w:lineRule="auto"/>
        <w:ind w:lef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@@@1</w:t>
      </w:r>
      <w:r>
        <w:rPr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  <w:t xml:space="preserve">See also Cod. Vat. ccciv., in Mai,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op. cit.</w:t>
      </w:r>
      <w:r>
        <w:rPr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5" w:val="left"/>
          <w:tab w:pos="2934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14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B.Ο.,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131, No. 8.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930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@@@is Compare Cod. Vat. cccv., in 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op. cit.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930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@@@16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B.Ο.,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130, No. 4.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81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@@@17</w:t>
        <w:tab/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Al-'Ibādi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nisbah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an Arab Christian of </w:t>
      </w:r>
      <w:r>
        <w:rPr>
          <w:rStyle w:val="CharStyle3"/>
          <w:lang w:val="fr-FR" w:eastAsia="fr-FR" w:bidi="fr-FR"/>
        </w:rPr>
        <w:t>al-</w:t>
      </w:r>
      <w:r>
        <w:rPr>
          <w:rStyle w:val="CharStyle3"/>
        </w:rPr>
        <w:t>Ḥī</w:t>
      </w:r>
      <w:r>
        <w:rPr>
          <w:rStyle w:val="CharStyle3"/>
          <w:lang w:val="fr-FR" w:eastAsia="fr-FR" w:bidi="fr-FR"/>
        </w:rPr>
        <w:t>rah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See Ibn Khal-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likān,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Wūstenfeld,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No. 87. Latin writers generally call him Joannitius.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5" w:val="left"/>
        </w:tabs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@@@18</w:t>
        <w:tab/>
        <w:t xml:space="preserve">See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Fihrist,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pp. and 140 ; Ibn Abi Usaibi'ah, ed. Miiller, i. 184 ; Ibn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484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Khallikān,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Wūstenfeld,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No. 208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al-Mas’ūdī,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Murūj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adh-Dhahab,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ix.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si/.; 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Syr.,p.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170(transl.,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B.Ο.,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270,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197-199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(B.Ο.,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438);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Hist. Dynast.,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263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sq.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(transi., 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171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sç.);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Wenrich,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 Auctt. Gr. Fersionibus,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Index, p. xxxi. ; Wūstenfeld,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Gesch. d. arab. Aerzte,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No.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69.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484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19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B.O.,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1,165.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5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@@@20</w:t>
        <w:tab/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See Gesenius,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Bar Alio et Bar Bahlulo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Commentatio,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1834, 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8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@@@21</w:t>
        <w:tab/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Hoffmann,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Z.D.M.G.,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xxxii., 1878,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741.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26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22</w:t>
        <w:tab/>
        <w:t xml:space="preserve">Edit.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Baethgen, p.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Hoffmann,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Opusc. Nestor.,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p. xvii.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color w:val="73684C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23</w:t>
        <w:tab/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Hoffmann,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Opusc. Nest.,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pp.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2-49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ii.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308, col. 2,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Cod. Berlin, Sachau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72,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No.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14. There is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also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MS.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the collection of the S.P.C.K.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88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24</w:t>
        <w:tab/>
        <w:t>Cod. Vat. cxcii. (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409),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Syntagma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Medicum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Syr.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Arab.,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not likely to be his, but requires closer examination.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25</w:t>
        <w:tab/>
        <w:t xml:space="preserve">This is a large subject, into which we cannot here enter, the more so as it pertains rather to a history of Arabic than of Syriac literature. We would refer the reader to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Wūstenfeld,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Geschichte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arab. Aerzte u.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Naturforscher,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1840 ;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Flūgel,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Dissert,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 Arabicis Scriptorum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Græcorum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>Interpretibus,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1841 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; Wenrich,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 Auctorum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Græcorum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>Fersionibus et Commentariis,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1842 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;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Renan,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>De Philoso</w:t>
        <w:softHyphen/>
        <w:t>phia Peripatetica apud Syros,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1852,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sect. 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viii. p.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51 </w:t>
      </w:r>
      <w:r>
        <w:rPr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;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>Al-Farabi (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Alpharabius)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des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Arab.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Philosophen Leben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u.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Schriften,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M.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Steinschneider,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Mūller,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Die Griechischen Philosophen in der arabischen Uūberlieferung,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1873.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Of Muham</w:t>
        <w:softHyphen/>
        <w:t xml:space="preserve">madan authorities two of the most important are the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Fihrist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Abu </w:t>
      </w:r>
      <w:r>
        <w:rPr>
          <w:color w:val="73684C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1-Faraj Muhammad ibn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Ishāk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al-Warrāk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al-</w:t>
      </w:r>
      <w:r>
        <w:rPr>
          <w:rStyle w:val="CharStyle3"/>
        </w:rPr>
        <w:t>Bagh</w:t>
      </w:r>
      <w:r>
        <w:rPr>
          <w:rStyle w:val="CharStyle3"/>
          <w:lang w:val="fr-FR" w:eastAsia="fr-FR" w:bidi="fr-FR"/>
        </w:rPr>
        <w:t>d</w:t>
      </w:r>
      <w:r>
        <w:rPr>
          <w:rStyle w:val="CharStyle3"/>
          <w:color w:val="000000"/>
        </w:rPr>
        <w:t>ā</w:t>
      </w:r>
      <w:r>
        <w:rPr>
          <w:rStyle w:val="CharStyle3"/>
          <w:lang w:val="fr-FR" w:eastAsia="fr-FR" w:bidi="fr-FR"/>
        </w:rPr>
        <w:t>dh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I, commonly called Ibn Abi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Ya'kūb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an-Nadim (died early in the 11th century), and the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>'Uyūn al-Anbāfī Tabakāt al-Atibbā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Muwaffak ad-Din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Abu </w:t>
      </w:r>
      <w:r>
        <w:rPr>
          <w:color w:val="73684C"/>
          <w:spacing w:val="0"/>
          <w:w w:val="100"/>
          <w:position w:val="0"/>
          <w:shd w:val="clear" w:color="auto" w:fill="auto"/>
          <w:lang w:val="el-GR" w:eastAsia="el-GR" w:bidi="el-GR"/>
        </w:rPr>
        <w:t>Ί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-'Abbās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Ahmad ibn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al-Kāsim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as- Sa'di al-Khazraji, generally known by the name of Ibn Abi Usaibi'ah (died in 1269). The former work has been edited by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Flūgel,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Rūdiger,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Mūller,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1871-72, the latter by A.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Mūller,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1884.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8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26</w:t>
        <w:tab/>
        <w:t xml:space="preserve">gee Ibn Abi Usaibi'ah, ed.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Mūller,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127 ;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Wūstenfeld,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Gesch. d. arab. Aerzte,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876" w:val="left"/>
        </w:tabs>
        <w:bidi w:val="0"/>
        <w:spacing w:line="194" w:lineRule="auto"/>
        <w:ind w:left="0" w:firstLine="0"/>
        <w:jc w:val="left"/>
      </w:pP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No. 28;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Chron. Syr.,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pp. 139-140, 170 (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271, note, col. 1), and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Hist. Dynast.,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235, 264.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876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color w:val="73684C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27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258.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8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28</w:t>
        <w:tab/>
        <w:t xml:space="preserve">Compare Gesenius,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BA el BB,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7.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5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29</w:t>
        <w:tab/>
        <w:t xml:space="preserve">See Gesenius,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op. cit.,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8 ;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258.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30</w:t>
        <w:tab/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437, 438, note 2.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color w:val="73684C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31</w:t>
        <w:tab/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the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Fihrist,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263 ; Ibn Abi Usaibi'ah, ed. 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Mūller,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i. 234-235.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5" w:val="left"/>
          <w:tab w:pos="3062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32</w:t>
        <w:tab/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257 ; Gesenius,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op. cit.,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cap. ii.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15" w:val="left"/>
          <w:tab w:pos="3062" w:val="left"/>
        </w:tabs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 Gesenius,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op. cit.,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14.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21; see Hoffmann,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>Syrisch-arabische Glossen,</w:t>
      </w:r>
      <w:r>
        <w:rPr>
          <w:color w:val="73684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1874, and Payne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603" w:val="left"/>
        </w:tabs>
        <w:bidi w:val="0"/>
        <w:spacing w:line="194" w:lineRule="auto"/>
        <w:ind w:left="0" w:firstLine="0"/>
        <w:jc w:val="left"/>
      </w:pP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Smith,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Thes. Syr.,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passim.</w:t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603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color w:val="73684C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35 gee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501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sq.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@@@</w:t>
      </w:r>
      <w:r>
        <w:rPr>
          <w:b/>
          <w:bCs/>
          <w:color w:val="73684C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36 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 Assemani, 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435. </w:t>
      </w:r>
      <w:r>
        <w:rPr>
          <w:color w:val="73684C"/>
          <w:spacing w:val="0"/>
          <w:w w:val="100"/>
          <w:position w:val="0"/>
          <w:shd w:val="clear" w:color="auto" w:fill="auto"/>
          <w:lang w:val="fr-FR" w:eastAsia="fr-FR" w:bidi="fr-FR"/>
        </w:rPr>
        <w:t>Bar-Hebræus (</w:t>
      </w:r>
      <w:r>
        <w:rPr>
          <w:i/>
          <w:iCs/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color w:val="73684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181) says that he resided for thirty-eight years in the convent of Sa'id near Mosul.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1354" w:left="1666" w:right="1254" w:bottom="135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6"/>
      <w:szCs w:val="16"/>
      <w:u w:val="none"/>
    </w:rPr>
  </w:style>
  <w:style w:type="character" w:customStyle="1" w:styleId="CharStyle9">
    <w:name w:val="Body text (5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3"/>
      <w:szCs w:val="13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04" w:lineRule="auto"/>
      <w:ind w:firstLine="26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6"/>
      <w:szCs w:val="16"/>
      <w:u w:val="none"/>
    </w:rPr>
  </w:style>
  <w:style w:type="paragraph" w:customStyle="1" w:styleId="Style8">
    <w:name w:val="Body text (5)"/>
    <w:basedOn w:val="Normal"/>
    <w:link w:val="CharStyle9"/>
    <w:pPr>
      <w:widowControl w:val="0"/>
      <w:shd w:val="clear" w:color="auto" w:fill="FFFFFF"/>
      <w:spacing w:line="214" w:lineRule="auto"/>
      <w:ind w:firstLine="20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