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have written an ecclesiastical history, which is entirely lost to us. At least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Bar-Hebræus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speaks of his recording certain matters in his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“Ekklēsiastikē,”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which do not appear in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Chronicle.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thorn in the side of Michael was his disciple Theodore bar Wahbōn. He first appears on the stage in 1170,@@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emperor Manuel sent Theorianus to the Armenian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catholicus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the Jacobite patriarch with letters. Michael declined an interview, but sent John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Kaisūm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see Theorianus at KaΓat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ar-Rūm,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on his coming a second time to the same place selected Theodore bar Wahbōn as his representative.@@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Ten years afterwards, in 1180, when Michael was at Antioch, Ibn Wahbōn was made anti-patriarch at Ā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mid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by certain malcontent bishops, under the name of John.@@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4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Michael, however, at once took energetic measures,@@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got hold of the anti-patriarch, formally deposed him, and shut him up in the convent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Bar-saumā,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whence he was afterwards allowed to make his escape by some of the monks. He fled to Damascus, where he tried in vain to bring his case before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Salāh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ad-din, and thence to Jerusalem, after the fall of which city in 1187 he joined Gregorius Degha, the Armenian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catholicus,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 KaΓat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ar-Rūm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went with him to Cilicia, where the king, Leo, made him patriarch of the Jacobites in his territories. He died in 1193. According to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 Hebræus,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Theodore bar Wahbōn was a good scholar, and could speak and write three foreign languages, Greek, Armenian, and Arabic.@@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compiled an anaphora,@@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wrote an exposition of the Eucharistic service,@@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8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 statement of his case against Michael in Arabic.@@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Nestorian writers there are scarcely any worth naming in this century, for the historian and controversialist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Māre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Shēlēmōn,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otherwise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Mari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ibn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Sulaimān,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wrote in Arabic@@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and Elias III.,@@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11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Abu Halim ibn al-Hadithi, of Maiperkat, metropolitan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Nis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ī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bis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catholicus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from 1175 to 1190, chiefly used the same language in his homilies and letters.@@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is best remembered for having compiled and arranged the prayers in one of the service books, which is still called by his name, “the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Halim.”@@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13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Ishō'-yabh bar Malkōn was ordained bishop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Nis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ī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bis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1190 by the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catholicus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Yabh-alāhā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II.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(1190-1222), was present at the consecration of his successor Sabhr-īshō' IV. (1222-25), and died under Sabhr-īshō' V. (1226-56), his follower at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Nis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ī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bis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being Makki-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khā,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who was afterwards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catholicus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(1257-65).@@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wrote on ques</w:t>
        <w:softHyphen/>
        <w:t>tions of grammar, besides homilies, letters, and hymns, in which, however, he chiefly, if not exclusively, employed the Arabic language.@@'∙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is the same as Joseph bar Malkōn, bishop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Mārdīn,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whose metrical tract on the points, entitled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Mésidhtā dhé-Nukzē,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“the Net of the Points,” is found in MSS., along with the grammatical writings of Elias bar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Shināyā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and John bar Zō'bi.@@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This tract must therefore have been composed before 1190.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Simeon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Shankēlabhādhī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Shankelāwi,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Shankēlābhādh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Shan-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kēlāwah,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17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near Irbil, must have been a contemporary of Bar Malkōn, and perhaps somewhat senior to him. He was the teacher of John bar Zō'bi, for whom he wrote 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Chronikon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chronological treatise in the form of questions and answers, explanatory of the various eras, the calendar, &amp;c. There is a MS. in the British Museum, Add. 25875,@@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18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several at Berlin.@@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19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was also the author of a moral poem in enigmatical language, of which 'Abhd-īshō' thought it worth his while to write an explanation for his disciple Abraham.@@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him is likewise ascribed “the questions of Simon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Kēphā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concerning the Eucharist and Baptism,” which he appears to have introduced to the notice of his pupil John bar Zō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bi.@@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John bar Zō'bi flourished about the end of the 12th and the be</w:t>
        <w:softHyphen/>
        <w:t xml:space="preserve">ginning of the 13th century. He was a monk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ē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Ḳūḳā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(or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Kūke)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Hēdhaiyabh,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numbered among his pupils Jacob bar Shakkō, or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Severus,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bishop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Mār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Matthew (see below).@@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wrote metrical homilies, partly in seven-syllable, partly in twelve-syllable verse, on the chief points of the Nestorian faith.@@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One of these is mentioned by Assemani,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309, note l@@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; another, on the four problems of philosophy, is in Berlin,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Sachau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72, 15. Bar Zō'bi is, however, better known as a grammarian.@@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larger of his two grammars is based on the works of previous writers, such as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Severus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Sēbōkht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Denliā,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commentators on Aristotle, and the grammarians Elias I., the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catholicus,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Elias bar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Shināyā,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bishop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Nis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ī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bis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smaller grammar is an epitome in verse, accom</w:t>
        <w:softHyphen/>
        <w:t>panied by a metrical tract on the four chief marks of interρunction.@@-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7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seems also to have continued the treatise of Honain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De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Synonymis,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la-001" w:eastAsia="la-001" w:bidi="la-001"/>
        </w:rPr>
        <w:t xml:space="preserve">3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so that he may perhaps be Hoffmann’s “analecta anonymus.”@@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29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As the lamp flares up before it expires, so the 13th century wit</w:t>
        <w:softHyphen/>
        <w:t>nessed a faint revival of Syriac literature before its extinction.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David bar Paul is cited by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Ausar Raze,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30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may therefore be supposed to have lived early in the 13th century. He was evidently a man of considerable culture, and a versifier. We have from his pen a poem on the letters of the Syriac alphabet,@@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 xml:space="preserve">31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note on the mutable letters,@@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 brief enumeration of the cate</w:t>
        <w:softHyphen/>
        <w:t>gories of Aristotle,@@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moral poem in twelve-syllable verse,@@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another on repentance in an Arabic translation,@@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specimens of a third in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Cardāhi’s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Liber Thesauri,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138. Theological are a dialogue between a Malkite and a Jacobite on the hymn Trisagion@@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36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 tract in Arabic on matters in dispute between the Jacobites and Malkites.@@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37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line="202" w:lineRule="auto"/>
        <w:ind w:left="0" w:firstLine="360"/>
        <w:jc w:val="left"/>
      </w:pP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Jacob bar Shakkō (Shakkdkō ?),@@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38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'Isfi, bar Mark,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Bartellāi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Bartullā,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near Mosul, was a monk of the famous convent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Mār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Matthew, of which he afterwards became bishop by the name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Severus.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spacing w:val="0"/>
          <w:w w:val="100"/>
          <w:position w:val="0"/>
          <w:shd w:val="clear" w:color="auto" w:fill="auto"/>
          <w:vertAlign w:val="superscript"/>
          <w:lang w:val="de-DE" w:eastAsia="de-DE" w:bidi="de-DE"/>
        </w:rPr>
        <w:t>39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He was trained in grammar by John bar Zō'bi (see above) in the convent 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B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ē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th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Ḳūḳā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(or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Kūkē)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Hēdhaiyabh,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@@</w:t>
      </w:r>
      <w:r>
        <w:rPr>
          <w:spacing w:val="0"/>
          <w:w w:val="100"/>
          <w:position w:val="0"/>
          <w:shd w:val="clear" w:color="auto" w:fill="auto"/>
          <w:vertAlign w:val="superscript"/>
          <w:lang w:val="fr-FR" w:eastAsia="fr-FR" w:bidi="fr-FR"/>
        </w:rPr>
        <w:t>40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in dialectics and philosophy by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Kamāl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ad-Din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Mflsā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ibn Yιιnus at Mosul.@@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41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He composed one of his works,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Book of Treasures,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589.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@@@2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Ibid.,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549, 551, where 1172 is an error, as remarked by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Abbeloos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note 1. John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Kaisūm,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who was present on the occasion, died in 1171 (p. 559).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465" w:val="left"/>
        </w:tabs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 The disputations held on these occasions were of course utterly fruitless. See Leunclavius,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Legatio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Imp.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Caesaris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Manuelis Comneni Aug. ad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Armenios, sive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Theoriani cum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Catholico disputatio,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&amp;c., 1578, and in Galanus,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Concilia</w:t>
        <w:softHyphen/>
        <w:t xml:space="preserve">tionis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Ecclesix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Armenie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cum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Romana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. . 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pars i., 1690, p. 242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sq.', Disp. Theoriani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secunda,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Mai,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Scripti.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Vett. Nova Coll.,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vi. pp. xxiii. and 314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sq.,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in Migne,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Patrol.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Gr.,cxxxiii.ll4sg.j also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549-557 ; Langlois,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Chronique,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pp. 329-331; comp. Abbeloos’s notes on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pp. 550-552,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364-365.</w:t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465" w:val="left"/>
        </w:tabs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4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575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sq.∙, 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213.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143" w:val="left"/>
        </w:tabs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5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579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214.</w:t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143" w:val="left"/>
        </w:tabs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581.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Renaudot,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ii. 409 ;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216 ; Payne Smith,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241, note c.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372" w:val="left"/>
        </w:tabs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216.</w:t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372" w:val="left"/>
        </w:tabs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9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i. 581, at the foot.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19 He flourished in the first half of this century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554-555,582). His work is extant in the Vatican Library in 2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vols.,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cviii. and cix. (Mai,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Scriptt. Vett.Nova Coll.,iv.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219-223), with the title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Kitāb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al-Majdal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“the Tower,” wrongly ascribed to 'Amr ibn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Mattā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Tīrliān.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first volume, transcribed in 1401, is theological and dogmatical ; it comprises the first four sections. The second volume is theological and historical. The series of patriarchs ended with “ 71,”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Abħd-isho'bar Mukl of Mosul (1138-47), but is continued down to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Yabh-alāhā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bar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Kāyōma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Mosul (1190),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“qui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nunc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sedem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tenet,” i.e., in 1214, when this volume was written. His epitomizer 'Amr ibn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Mattā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TIrhān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lived in the first half of the 14th century (B.O., iii. 1, 580, 586). To him is ascribed Cod. Vat. cx., which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“autographus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esse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videtur”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(Mai,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Scriptt. Vett. Nova Coll.,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iv. 224-227). It consists of five parts, of which the first is wanting in this MS., which has therefore no title. The series of catholics in pt. v.,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fundam.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2, is continued down to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Yabh-alahā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(1281-1317). In_pt. v.,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fundam.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3, sect. 6, we find the confession of faith of Michael, bishop of </w:t>
      </w:r>
      <w:r>
        <w:rPr>
          <w:rStyle w:val="CharStyle3"/>
        </w:rPr>
        <w:t>Ā</w:t>
      </w:r>
      <w:r>
        <w:rPr>
          <w:rStyle w:val="CharStyle3"/>
          <w:lang w:val="fr-FR" w:eastAsia="fr-FR" w:bidi="fr-FR"/>
        </w:rPr>
        <w:t>mid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Maiyāfārikin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(B.O., iii. 1, 557), translated into Arabic by the priest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Salibā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ibn Yohanna,'whom G. E. Khayyath, archbishop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'Amādia,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asserts to be the real author of the whole work (see his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Syri orientales seu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Chaldxi Nestoriani </w:t>
      </w:r>
      <w:r>
        <w:rPr>
          <w:i/>
          <w:iCs/>
          <w:spacing w:val="0"/>
          <w:w w:val="100"/>
          <w:position w:val="0"/>
          <w:shd w:val="clear" w:color="auto" w:fill="auto"/>
          <w:lang w:val="la-001" w:eastAsia="la-001" w:bidi="la-001"/>
        </w:rPr>
        <w:t>et Romanorum Pontificum Primatus,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1870, and comp. Hoffmann,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Auszūge,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6). Cod. Vat. dclxxxvii. (Mai,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op. cit.,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V. 594) contains part of the same work as Cod.Yat. ex. (though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Catalogue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calls it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Majdal,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ascribes it to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Mārt),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viz., pt. v.,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fundam.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 and 2 (“usque ad Ebediesum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Barsaumæ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successorem, qui obiit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die 25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novem</w:t>
        <w:softHyphen/>
        <w:t xml:space="preserve">bres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an. Christi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1147.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Continuat eandem historiam Amrus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Matthæi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filius, a Jesuiabo baladensi, Ebediesu successore, usque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ad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Iaballahum III. Timothei secundi successorem, qui obiit die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31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ianuarii an. Christi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1222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” !). Cod. Yat. dclxxxviii.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also said to contain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“ Historia Patriarcharum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Chaldæorum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sive Nestorianorum,”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from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Addai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and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Mārt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down to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Yabh-alāhā bar Kāyōmā,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by 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Amr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ibn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Matta.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“Hæc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autem historia longe fusior est atque emendatior illa, quam Mares f. Salomonis conscripsit, de qua in praecedente codice” !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And to add to the perplexity,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Sachau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describes his Cod. 12 (Arab.) as “Theil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einer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grossen Kirchengeschichte der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Nestorianer. Biicher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der Geheim</w:t>
        <w:softHyphen/>
        <w:t xml:space="preserve">nisse. Alte Papierhandschrift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(14 Jh.).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Es ist das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>von 'Amr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b. Mattā aus TTrliān.”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Possibly the MS.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the collection of the S.P.C.K. may give some light.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@@@11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450, iii. 1, 287 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367-369.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12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290.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2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13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Badger,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Nestorians,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23 : “The Aboo Haleem contains a collection of collects appointed to be read at the conclusion of the Noctums of all the Sundays throughout the year, of the festivals, and the three days of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Baootha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d’Ninwāyé,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before the commencement of the Matins." See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291-295.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527" w:val="left"/>
        </w:tabs>
        <w:bidi w:val="0"/>
        <w:spacing w:line="192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14 AO., iii. 1, 295, note 1.</w:t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527" w:val="left"/>
        </w:tabs>
        <w:bidi w:val="0"/>
        <w:spacing w:line="192" w:lineRule="auto"/>
        <w:ind w:left="0" w:firstLine="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15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Ibid.,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295-306.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988" w:val="left"/>
        </w:tabs>
        <w:bidi w:val="0"/>
        <w:spacing w:line="240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@@@18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E.g.,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Cod. Vat. cxciv. (copied from a MS. written in 1246), and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25876, f. 276b (note the colophon, f. 290b, 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1178); see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30S, col. 1, No. viii., and the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Abbé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Martin,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be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la Métrique chez les Syriens,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1879,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70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(at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68,1. 14, read</w:t>
      </w:r>
      <w:r>
        <w:rPr>
          <w:spacing w:val="0"/>
          <w:w w:val="100"/>
          <w:position w:val="0"/>
          <w:shd w:val="clear" w:color="auto" w:fill="auto"/>
          <w:lang w:val="el-GR" w:eastAsia="el-GR" w:bidi="el-GR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“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bishop of </w:t>
      </w:r>
      <w:r>
        <w:rPr>
          <w:rStyle w:val="CharStyle3"/>
          <w:lang w:val="de-DE" w:eastAsia="de-DE" w:bidi="de-DE"/>
        </w:rPr>
        <w:t>Nis</w:t>
      </w:r>
      <w:r>
        <w:rPr>
          <w:rStyle w:val="CharStyle3"/>
        </w:rPr>
        <w:t>ī</w:t>
      </w:r>
      <w:r>
        <w:rPr>
          <w:rStyle w:val="CharStyle3"/>
          <w:lang w:val="de-DE" w:eastAsia="de-DE" w:bidi="de-DE"/>
        </w:rPr>
        <w:t>bis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”).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22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17</w:t>
        <w:tab/>
        <w:t xml:space="preserve">See Hoffmann,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Auszūge,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p. 231, and note 1847.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11" w:val="left"/>
          <w:tab w:pos="2370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18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Wright,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1067.</w:t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11" w:val="left"/>
          <w:tab w:pos="2370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is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Sachau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108,1,121, and 153,1,3.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275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2θ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Cod. Vat. clxxxvii.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404) ; MS. Ind. Off. No. 9, “Tracts in Syriac,” f. 204. It has been published by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Cardāhī,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Liber Thesauri,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89.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Cardāhī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calls the author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as-Sankalabarī,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blindly copying Assemani’s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Sancalabarensis,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places his death in 780 (see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225, note 5, 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p.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226, note 7 ; and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 Pat.,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405).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435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562.</w:t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435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22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409.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22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23</w:t>
        <w:tab/>
        <w:t xml:space="preserve">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Or. 2305 ; and apparently Berlin,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Sachau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8.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26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24</w:t>
        <w:tab/>
        <w:t xml:space="preserve">It has been translated by Badger,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The Nestorians,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151-153.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18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25</w:t>
        <w:tab/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1, 307.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84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26</w:t>
        <w:tab/>
        <w:t xml:space="preserve">Part of this work, namely, the portion that deals with the marks of inter- punction, has been edited and translated by Martin, </w:t>
      </w:r>
      <w:r>
        <w:rPr>
          <w:i/>
          <w:iCs/>
          <w:spacing w:val="0"/>
          <w:w w:val="100"/>
          <w:position w:val="0"/>
          <w:shd w:val="clear" w:color="auto" w:fill="auto"/>
          <w:lang w:val="fr-FR" w:eastAsia="fr-FR" w:bidi="fr-FR"/>
        </w:rPr>
        <w:t>Traité sur l’Accentuation chez les Syriens orientaux,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1877.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81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27</w:t>
        <w:tab/>
        <w:t xml:space="preserve">MSS. of these grammars,—Cod. Vat. cxciv., ccccl.; Brit.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Mus.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Add. 25876 ; Or. 2314 ; Berlin, Alt. Best. 36, 16, and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Sachau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216, 2, and 306, 2.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895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18 Berlin,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Sachau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72,14.</w:t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895" w:val="left"/>
        </w:tabs>
        <w:bidi w:val="0"/>
        <w:spacing w:line="192" w:lineRule="auto"/>
        <w:ind w:left="0" w:firstLine="360"/>
        <w:jc w:val="left"/>
        <w:rPr>
          <w:sz w:val="11"/>
          <w:szCs w:val="11"/>
        </w:rPr>
      </w:pP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29 </w:t>
      </w: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opusc. Nestor.,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p. iv. 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1895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30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B.O.,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 xml:space="preserve"> ii.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243.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77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31</w:t>
        <w:tab/>
        <w:t xml:space="preserve">Cod. Vat. ccxvii.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505) ; Paris,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Ane. fonds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118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(Zotenberg,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Catal.,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p. 166), 157 (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ibid.,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147).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22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32</w:t>
        <w:tab/>
        <w:t xml:space="preserve">Paris,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Ane. fonds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164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(Zotenberg,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213).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26" w:val="left"/>
          <w:tab w:pos="2399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33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Berlin, Alt. Best. 36,13.</w:t>
        <w:tab/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26" w:val="left"/>
          <w:tab w:pos="2399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34 Cod. Yat. xcvi.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522).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26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35</w:t>
        <w:tab/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Cod. Vat. lviii.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351).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74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36</w:t>
        <w:tab/>
        <w:t xml:space="preserve">Cod. Yat. cxlvi.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268), ccviii.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iii. 498); Paris,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Ane. fonds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134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A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(Zotenberg,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154), with an Arabic translation.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18" w:val="left"/>
        </w:tabs>
        <w:bidi w:val="0"/>
        <w:spacing w:line="192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37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ab/>
        <w:t xml:space="preserve">Bodl. Hunt. 199 (P. Smith,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449), Poc. 79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(ib.,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p. 459).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322" w:val="left"/>
        </w:tabs>
        <w:bidi w:val="0"/>
        <w:spacing w:line="192" w:lineRule="auto"/>
        <w:ind w:left="0" w:firstLine="360"/>
        <w:jc w:val="left"/>
        <w:rPr>
          <w:sz w:val="18"/>
          <w:szCs w:val="18"/>
        </w:rPr>
      </w:pPr>
      <w:r>
        <w:rPr>
          <w:i/>
          <w:iCs/>
          <w:spacing w:val="0"/>
          <w:w w:val="100"/>
          <w:position w:val="0"/>
          <w:sz w:val="13"/>
          <w:szCs w:val="13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38</w:t>
        <w:tab/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written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 xml:space="preserve"> </w:t>
      </w:r>
      <w:r>
        <w:rPr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and</w:t>
      </w:r>
      <w:r>
        <w:rPr>
          <w:spacing w:val="0"/>
          <w:w w:val="100"/>
          <w:position w:val="0"/>
          <w:sz w:val="18"/>
          <w:szCs w:val="18"/>
          <w:shd w:val="clear" w:color="auto" w:fill="auto"/>
          <w:lang w:val="en-US" w:eastAsia="en-US" w:bidi="en-US"/>
        </w:rPr>
        <w:t>.</w:t>
      </w:r>
    </w:p>
    <w:p>
      <w:pPr>
        <w:pStyle w:val="Style5"/>
        <w:keepNext w:val="0"/>
        <w:keepLines w:val="0"/>
        <w:widowControl w:val="0"/>
        <w:shd w:val="clear" w:color="auto" w:fill="auto"/>
        <w:tabs>
          <w:tab w:pos="277" w:val="left"/>
        </w:tabs>
        <w:bidi w:val="0"/>
        <w:spacing w:line="194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z w:val="11"/>
          <w:szCs w:val="11"/>
          <w:shd w:val="clear" w:color="auto" w:fill="auto"/>
          <w:lang w:val="en-US" w:eastAsia="en-US" w:bidi="en-US"/>
        </w:rPr>
        <w:t>39</w:t>
        <w:tab/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409(a contemporary). In Cod. Yat. ccccxi. (Mai,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Scriptt. Vett. Nova Coll.,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v.) he bears the name of Jacob bar </w:t>
      </w:r>
      <w:r>
        <w:rPr>
          <w:spacing w:val="0"/>
          <w:w w:val="100"/>
          <w:position w:val="0"/>
          <w:shd w:val="clear" w:color="auto" w:fill="auto"/>
          <w:lang w:val="la-001" w:eastAsia="la-001" w:bidi="la-001"/>
        </w:rPr>
        <w:t xml:space="preserve">Talia,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 corrup</w:t>
        <w:softHyphen/>
        <w:t xml:space="preserve">tion of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Bartellāyā.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In MS. Berlin, Alt. Best. 38, 1 (if the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Catal,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 correct), he is called “ metropolitan of the convent of St Matthew near Arbela,” confusing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Mār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Matthew at Mosul with </w:t>
      </w:r>
      <w:r>
        <w:rPr>
          <w:rStyle w:val="CharStyle3"/>
          <w:lang w:val="fr-FR" w:eastAsia="fr-FR" w:bidi="fr-FR"/>
        </w:rPr>
        <w:t>B</w:t>
      </w:r>
      <w:r>
        <w:rPr>
          <w:rStyle w:val="CharStyle3"/>
        </w:rPr>
        <w:t>ē</w:t>
      </w:r>
      <w:r>
        <w:rPr>
          <w:rStyle w:val="CharStyle3"/>
          <w:lang w:val="fr-FR" w:eastAsia="fr-FR" w:bidi="fr-FR"/>
        </w:rPr>
        <w:t>th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Ḳūḳā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where he was trained. Assemani and others have identified him with Jacob, bishop of Maiperkat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(Mēdhinath Sahdē).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with Taghrith he never had anything to do.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49 Hoffmann, </w:t>
      </w:r>
      <w:r>
        <w:rPr>
          <w:i/>
          <w:iCs/>
          <w:spacing w:val="0"/>
          <w:w w:val="100"/>
          <w:position w:val="0"/>
          <w:shd w:val="clear" w:color="auto" w:fill="auto"/>
          <w:lang w:val="de-DE" w:eastAsia="de-DE" w:bidi="de-DE"/>
        </w:rPr>
        <w:t>Auszūge,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p. 215, note 1715.</w:t>
      </w:r>
    </w:p>
    <w:p>
      <w:pPr>
        <w:pStyle w:val="Style5"/>
        <w:keepNext w:val="0"/>
        <w:keepLines w:val="0"/>
        <w:widowControl w:val="0"/>
        <w:shd w:val="clear" w:color="auto" w:fill="auto"/>
        <w:bidi w:val="0"/>
        <w:spacing w:line="194" w:lineRule="auto"/>
        <w:ind w:left="0" w:firstLine="360"/>
        <w:jc w:val="left"/>
      </w:pPr>
      <w:r>
        <w:rPr>
          <w:i/>
          <w:iCs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@@@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41 Born 1156, died 1224; </w:t>
      </w: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 xml:space="preserve">Bar-Hebræus,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Chron. Eccles.,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ii. 411; wtistenfeld, </w:t>
      </w:r>
      <w:r>
        <w:rPr>
          <w:i/>
          <w:iCs/>
          <w:spacing w:val="0"/>
          <w:w w:val="100"/>
          <w:position w:val="0"/>
          <w:shd w:val="clear" w:color="auto" w:fill="auto"/>
          <w:lang w:val="en-US" w:eastAsia="en-US" w:bidi="en-US"/>
        </w:rPr>
        <w:t>Gesch. d. arab. Aerzte, No.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229 ;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Ihn Khallikān,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ed.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wūstenfeld,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 xml:space="preserve">No. 757 ; </w:t>
      </w:r>
      <w:r>
        <w:rPr>
          <w:spacing w:val="0"/>
          <w:w w:val="100"/>
          <w:position w:val="0"/>
          <w:shd w:val="clear" w:color="auto" w:fill="auto"/>
          <w:lang w:val="de-DE" w:eastAsia="de-DE" w:bidi="de-DE"/>
        </w:rPr>
        <w:t xml:space="preserve">Ihn </w:t>
      </w:r>
      <w:r>
        <w:rPr>
          <w:spacing w:val="0"/>
          <w:w w:val="100"/>
          <w:position w:val="0"/>
          <w:shd w:val="clear" w:color="auto" w:fill="auto"/>
          <w:lang w:val="en-US" w:eastAsia="en-US" w:bidi="en-US"/>
        </w:rPr>
        <w:t>Abi Osaibi'ah, ed. Miiller, i. 306.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6840"/>
      <w:pgMar w:top="1627" w:left="1394" w:right="1528" w:bottom="1433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4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A3E2A"/>
      <w:sz w:val="16"/>
      <w:szCs w:val="16"/>
      <w:u w:val="none"/>
    </w:rPr>
  </w:style>
  <w:style w:type="character" w:customStyle="1" w:styleId="CharStyle6">
    <w:name w:val="Body text (5)_"/>
    <w:basedOn w:val="DefaultParagraphFont"/>
    <w:link w:val="Styl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A3E2A"/>
      <w:sz w:val="13"/>
      <w:szCs w:val="13"/>
      <w:u w:val="none"/>
    </w:rPr>
  </w:style>
  <w:style w:type="paragraph" w:customStyle="1" w:styleId="Style2">
    <w:name w:val="Body text (4)"/>
    <w:basedOn w:val="Normal"/>
    <w:link w:val="CharStyle3"/>
    <w:pPr>
      <w:widowControl w:val="0"/>
      <w:shd w:val="clear" w:color="auto" w:fill="FFFFFF"/>
      <w:spacing w:line="204" w:lineRule="auto"/>
      <w:ind w:firstLine="26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A3E2A"/>
      <w:sz w:val="16"/>
      <w:szCs w:val="16"/>
      <w:u w:val="none"/>
    </w:rPr>
  </w:style>
  <w:style w:type="paragraph" w:customStyle="1" w:styleId="Style5">
    <w:name w:val="Body text (5)"/>
    <w:basedOn w:val="Normal"/>
    <w:link w:val="CharStyle6"/>
    <w:pPr>
      <w:widowControl w:val="0"/>
      <w:shd w:val="clear" w:color="auto" w:fill="FFFFFF"/>
      <w:spacing w:line="214" w:lineRule="auto"/>
      <w:ind w:firstLine="20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4A3E2A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