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and part ii. 1867), give the values of li 10</w:t>
      </w:r>
      <w:r>
        <w:rPr>
          <w:i/>
          <w:iCs/>
          <w:color w:val="000000"/>
          <w:spacing w:val="0"/>
          <w:w w:val="100"/>
          <w:position w:val="0"/>
          <w:shd w:val="clear" w:color="auto" w:fill="auto"/>
          <w:vertAlign w:val="superscript"/>
          <w:lang w:val="en-US" w:eastAsia="en-US" w:bidi="en-US"/>
        </w:rPr>
        <w:t>x</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x = -</w:t>
      </w:r>
      <w:r>
        <w:rPr>
          <w:color w:val="000000"/>
          <w:spacing w:val="0"/>
          <w:w w:val="100"/>
          <w:position w:val="0"/>
          <w:shd w:val="clear" w:color="auto" w:fill="auto"/>
          <w:lang w:val="en-US" w:eastAsia="en-US" w:bidi="en-US"/>
        </w:rPr>
        <w:t xml:space="preserve"> 15 to 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5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1 </w:t>
      </w:r>
      <w:r>
        <w:rPr>
          <w:color w:val="000000"/>
          <w:spacing w:val="0"/>
          <w:w w:val="100"/>
          <w:position w:val="0"/>
          <w:shd w:val="clear" w:color="auto" w:fill="auto"/>
          <w:lang w:val="en-US" w:eastAsia="en-US" w:bidi="en-US"/>
        </w:rPr>
        <w:t xml:space="preserve">to 18 places. Glaisher, in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1870, p. 367, gives Ei(±</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Si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Ci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fr-FR" w:eastAsia="fr-FR" w:bidi="fr-FR"/>
        </w:rPr>
        <w:t xml:space="preserve">=0 </w:t>
      </w:r>
      <w:r>
        <w:rPr>
          <w:color w:val="000000"/>
          <w:spacing w:val="0"/>
          <w:w w:val="100"/>
          <w:position w:val="0"/>
          <w:shd w:val="clear" w:color="auto" w:fill="auto"/>
          <w:lang w:val="en-US" w:eastAsia="en-US" w:bidi="en-US"/>
        </w:rPr>
        <w:t xml:space="preserve">to 1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1 </w:t>
      </w:r>
      <w:r>
        <w:rPr>
          <w:color w:val="000000"/>
          <w:spacing w:val="0"/>
          <w:w w:val="100"/>
          <w:position w:val="0"/>
          <w:shd w:val="clear" w:color="auto" w:fill="auto"/>
          <w:lang w:val="en-US" w:eastAsia="en-US" w:bidi="en-US"/>
        </w:rPr>
        <w:t xml:space="preserve">to 18 places, from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1 to 5 at intervals of </w:t>
      </w:r>
      <w:r>
        <w:rPr>
          <w:color w:val="000000"/>
          <w:spacing w:val="0"/>
          <w:w w:val="100"/>
          <w:position w:val="0"/>
          <w:shd w:val="clear" w:color="auto" w:fill="auto"/>
          <w:lang w:val="el-GR" w:eastAsia="el-GR" w:bidi="el-GR"/>
        </w:rPr>
        <w:t xml:space="preserve">Ί </w:t>
      </w:r>
      <w:r>
        <w:rPr>
          <w:color w:val="000000"/>
          <w:spacing w:val="0"/>
          <w:w w:val="100"/>
          <w:position w:val="0"/>
          <w:shd w:val="clear" w:color="auto" w:fill="auto"/>
          <w:lang w:val="en-US" w:eastAsia="en-US" w:bidi="en-US"/>
        </w:rPr>
        <w:t xml:space="preserve">and thence to 15 at intervals of unity, and for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20 to 11 places, besides seven-place tables of </w:t>
      </w:r>
      <w:r>
        <w:rPr>
          <w:color w:val="000000"/>
          <w:spacing w:val="0"/>
          <w:w w:val="100"/>
          <w:position w:val="0"/>
          <w:shd w:val="clear" w:color="auto" w:fill="auto"/>
          <w:lang w:val="fr-FR" w:eastAsia="fr-FR" w:bidi="fr-FR"/>
        </w:rPr>
        <w:t xml:space="preserve">Si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Ci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tables of their maximum and minimum values. See also Bellavitis, “Tavole Numeriche Logaritmo-Integrale ” (a paper in </w:t>
      </w:r>
      <w:r>
        <w:rPr>
          <w:i/>
          <w:iCs/>
          <w:color w:val="000000"/>
          <w:spacing w:val="0"/>
          <w:w w:val="100"/>
          <w:position w:val="0"/>
          <w:shd w:val="clear" w:color="auto" w:fill="auto"/>
          <w:lang w:val="en-US" w:eastAsia="en-US" w:bidi="en-US"/>
        </w:rPr>
        <w:t>Memoirs of the Venetian Institute,</w:t>
      </w:r>
      <w:r>
        <w:rPr>
          <w:color w:val="000000"/>
          <w:spacing w:val="0"/>
          <w:w w:val="100"/>
          <w:position w:val="0"/>
          <w:shd w:val="clear" w:color="auto" w:fill="auto"/>
          <w:lang w:val="en-US" w:eastAsia="en-US" w:bidi="en-US"/>
        </w:rPr>
        <w:t xml:space="preserve"> 1874). Bessel calculated the values of li 1000, li 10,000, li 100,000, li 200,000,... li 600,000, and li 1,000,000 (see </w:t>
      </w:r>
      <w:r>
        <w:rPr>
          <w:i/>
          <w:iCs/>
          <w:color w:val="000000"/>
          <w:spacing w:val="0"/>
          <w:w w:val="100"/>
          <w:position w:val="0"/>
          <w:shd w:val="clear" w:color="auto" w:fill="auto"/>
          <w:lang w:val="de-DE" w:eastAsia="de-DE" w:bidi="de-DE"/>
        </w:rPr>
        <w:t>Abhandlungen,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ii. p. 339). In Glaisher, </w:t>
      </w:r>
      <w:r>
        <w:rPr>
          <w:i/>
          <w:iCs/>
          <w:color w:val="000000"/>
          <w:spacing w:val="0"/>
          <w:w w:val="100"/>
          <w:position w:val="0"/>
          <w:shd w:val="clear" w:color="auto" w:fill="auto"/>
          <w:lang w:val="en-US" w:eastAsia="en-US" w:bidi="en-US"/>
        </w:rPr>
        <w:t>Factor Table for the Sixth Million</w:t>
      </w:r>
      <w:r>
        <w:rPr>
          <w:color w:val="000000"/>
          <w:spacing w:val="0"/>
          <w:w w:val="100"/>
          <w:position w:val="0"/>
          <w:shd w:val="clear" w:color="auto" w:fill="auto"/>
          <w:lang w:val="en-US" w:eastAsia="en-US" w:bidi="en-US"/>
        </w:rPr>
        <w:t xml:space="preserve"> (1883), § iii., the values of li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are given from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fr-FR" w:eastAsia="fr-FR" w:bidi="fr-FR"/>
        </w:rPr>
        <w:t xml:space="preserve"> = 0 </w:t>
      </w:r>
      <w:r>
        <w:rPr>
          <w:color w:val="000000"/>
          <w:spacing w:val="0"/>
          <w:w w:val="100"/>
          <w:position w:val="0"/>
          <w:shd w:val="clear" w:color="auto" w:fill="auto"/>
          <w:lang w:val="en-US" w:eastAsia="en-US" w:bidi="en-US"/>
        </w:rPr>
        <w:t>to 9,000,000 at intervals of 50,000 to the nearest integer.</w:t>
      </w:r>
    </w:p>
    <w:p>
      <w:pPr>
        <w:pStyle w:val="Style3"/>
        <w:keepNext w:val="0"/>
        <w:keepLines w:val="0"/>
        <w:widowControl w:val="0"/>
        <w:shd w:val="clear" w:color="auto" w:fill="auto"/>
        <w:tabs>
          <w:tab w:pos="1060" w:val="left"/>
        </w:tabs>
        <w:bidi w:val="0"/>
        <w:spacing w:line="300" w:lineRule="auto"/>
        <w:ind w:left="0" w:firstLine="360"/>
        <w:jc w:val="left"/>
      </w:pPr>
      <w:r>
        <w:rPr>
          <w:i/>
          <w:iCs/>
          <w:color w:val="000000"/>
          <w:spacing w:val="0"/>
          <w:w w:val="100"/>
          <w:position w:val="0"/>
          <w:shd w:val="clear" w:color="auto" w:fill="auto"/>
          <w:lang w:val="en-US" w:eastAsia="en-US" w:bidi="en-US"/>
        </w:rPr>
        <w:t>Values</w:t>
        <w:tab/>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x</w:t>
      </w:r>
      <w:r>
        <w:rPr>
          <w:color w:val="000000"/>
          <w:spacing w:val="0"/>
          <w:w w:val="100"/>
          <w:position w:val="0"/>
          <w:shd w:val="clear" w:color="auto" w:fill="auto"/>
          <w:vertAlign w:val="subscript"/>
          <w:lang w:val="en-US" w:eastAsia="en-US" w:bidi="en-US"/>
        </w:rPr>
        <w:t>0</w:t>
      </w:r>
      <w:r>
        <w:rPr>
          <w:i/>
          <w:iCs/>
          <w:color w:val="000000"/>
          <w:spacing w:val="0"/>
          <w:w w:val="100"/>
          <w:position w:val="0"/>
          <w:shd w:val="clear" w:color="auto" w:fill="auto"/>
          <w:lang w:val="en-US" w:eastAsia="en-US" w:bidi="en-US"/>
        </w:rPr>
        <w:t xml:space="preserve"> and e</w:t>
      </w:r>
      <w:r>
        <w:rPr>
          <w:i/>
          <w:iCs/>
          <w:color w:val="000000"/>
          <w:spacing w:val="0"/>
          <w:w w:val="100"/>
          <w:position w:val="0"/>
          <w:shd w:val="clear" w:color="auto" w:fill="auto"/>
          <w:vertAlign w:val="superscript"/>
          <w:lang w:val="en-US" w:eastAsia="en-US" w:bidi="en-US"/>
        </w:rPr>
        <w:t>x2J'xc~x~dx.—</w:t>
      </w:r>
      <w:r>
        <w:rPr>
          <w:color w:val="000000"/>
          <w:spacing w:val="0"/>
          <w:w w:val="100"/>
          <w:position w:val="0"/>
          <w:shd w:val="clear" w:color="auto" w:fill="auto"/>
          <w:vertAlign w:val="superscript"/>
          <w:lang w:val="en-US" w:eastAsia="en-US" w:bidi="en-US"/>
        </w:rPr>
        <w:t>These</w:t>
      </w:r>
      <w:r>
        <w:rPr>
          <w:color w:val="000000"/>
          <w:spacing w:val="0"/>
          <w:w w:val="100"/>
          <w:position w:val="0"/>
          <w:shd w:val="clear" w:color="auto" w:fill="auto"/>
          <w:lang w:val="en-US" w:eastAsia="en-US" w:bidi="en-US"/>
        </w:rPr>
        <w:t xml:space="preserve"> functions are em</w:t>
        <w:softHyphen/>
      </w:r>
    </w:p>
    <w:p>
      <w:pPr>
        <w:pStyle w:val="Style3"/>
        <w:keepNext w:val="0"/>
        <w:keepLines w:val="0"/>
        <w:widowControl w:val="0"/>
        <w:shd w:val="clear" w:color="auto" w:fill="auto"/>
        <w:tabs>
          <w:tab w:pos="1742" w:val="left"/>
        </w:tabs>
        <w:bidi w:val="0"/>
        <w:spacing w:line="300" w:lineRule="auto"/>
        <w:ind w:left="0" w:firstLine="0"/>
        <w:jc w:val="left"/>
      </w:pPr>
      <w:r>
        <w:rPr>
          <w:color w:val="000000"/>
          <w:spacing w:val="0"/>
          <w:w w:val="100"/>
          <w:position w:val="0"/>
          <w:shd w:val="clear" w:color="auto" w:fill="auto"/>
          <w:lang w:val="en-US" w:eastAsia="en-US" w:bidi="en-US"/>
        </w:rPr>
        <w:t>ployed in researches connected with refractions, theory of errors, conduction of heat, &amp;c.</w:t>
        <w:tab/>
        <w:t xml:space="preserve">Let </w:t>
      </w:r>
      <w:r>
        <w:rPr>
          <w:i/>
          <w:iCs/>
          <w:color w:val="000000"/>
          <w:spacing w:val="0"/>
          <w:w w:val="100"/>
          <w:position w:val="0"/>
          <w:shd w:val="clear" w:color="auto" w:fill="auto"/>
          <w:lang w:val="en-US" w:eastAsia="en-US" w:bidi="en-US"/>
        </w:rPr>
        <w:t>J'</w:t>
      </w:r>
      <w:r>
        <w:rPr>
          <w:i/>
          <w:iCs/>
          <w:color w:val="000000"/>
          <w:spacing w:val="0"/>
          <w:w w:val="100"/>
          <w:position w:val="0"/>
          <w:shd w:val="clear" w:color="auto" w:fill="auto"/>
          <w:vertAlign w:val="superscript"/>
          <w:lang w:val="en-US" w:eastAsia="en-US" w:bidi="en-US"/>
        </w:rPr>
        <w:t>x</w:t>
      </w:r>
      <w:r>
        <w:rPr>
          <w:i/>
          <w:iCs/>
          <w:color w:val="000000"/>
          <w:spacing w:val="0"/>
          <w:w w:val="100"/>
          <w:position w:val="0"/>
          <w:shd w:val="clear" w:color="auto" w:fill="auto"/>
          <w:lang w:val="en-US" w:eastAsia="en-US" w:bidi="en-US"/>
        </w:rPr>
        <w:t xml:space="preserve">e ~ </w:t>
      </w:r>
      <w:r>
        <w:rPr>
          <w:i/>
          <w:iCs/>
          <w:color w:val="000000"/>
          <w:spacing w:val="0"/>
          <w:w w:val="100"/>
          <w:position w:val="0"/>
          <w:shd w:val="clear" w:color="auto" w:fill="auto"/>
          <w:vertAlign w:val="superscript"/>
          <w:lang w:val="en-US" w:eastAsia="en-US" w:bidi="en-US"/>
        </w:rPr>
        <w:t>x</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dx </w:t>
      </w:r>
      <w:r>
        <w:rPr>
          <w:i/>
          <w:iCs/>
          <w:smallCaps/>
          <w:color w:val="000000"/>
          <w:spacing w:val="0"/>
          <w:w w:val="100"/>
          <w:position w:val="0"/>
          <w:shd w:val="clear" w:color="auto" w:fill="auto"/>
          <w:lang w:val="en-US" w:eastAsia="en-US" w:bidi="en-US"/>
        </w:rPr>
        <w:t>3λv</w:t>
      </w:r>
      <w:r>
        <w:rPr>
          <w:rFonts w:ascii="Arial Unicode MS" w:eastAsia="Arial Unicode MS" w:hAnsi="Arial Unicode MS" w:cs="Arial Unicode MS"/>
          <w:i/>
          <w:iCs/>
          <w:smallCap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 xml:space="preserve">e ~ </w:t>
      </w:r>
      <w:r>
        <w:rPr>
          <w:i/>
          <w:iCs/>
          <w:color w:val="000000"/>
          <w:spacing w:val="0"/>
          <w:w w:val="100"/>
          <w:position w:val="0"/>
          <w:shd w:val="clear" w:color="auto" w:fill="auto"/>
          <w:vertAlign w:val="superscript"/>
          <w:lang w:val="en-US" w:eastAsia="en-US" w:bidi="en-US"/>
        </w:rPr>
        <w:t>x</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be denoted</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by Erf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Erfc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respectively, standing for “error function” and “error function complement,” so that Erf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fr-FR" w:eastAsia="fr-FR" w:bidi="fr-FR"/>
        </w:rPr>
        <w:t xml:space="preserve">+Erfc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lang w:val="en-US" w:eastAsia="en-US" w:bidi="en-US"/>
        </w:rPr>
        <w:t>½√</w:t>
      </w:r>
      <w:r>
        <w:rPr>
          <w:i/>
          <w:iCs/>
          <w:color w:val="000000"/>
          <w:spacing w:val="0"/>
          <w:w w:val="100"/>
          <w:position w:val="0"/>
          <w:shd w:val="clear" w:color="auto" w:fill="auto"/>
          <w:lang w:val="en-US" w:eastAsia="en-US" w:bidi="en-US"/>
        </w:rPr>
        <w:t>π (Phil. Mag.,</w:t>
      </w:r>
      <w:r>
        <w:rPr>
          <w:color w:val="000000"/>
          <w:spacing w:val="0"/>
          <w:w w:val="100"/>
          <w:position w:val="0"/>
          <w:shd w:val="clear" w:color="auto" w:fill="auto"/>
          <w:lang w:val="en-US" w:eastAsia="en-US" w:bidi="en-US"/>
        </w:rPr>
        <w:t xml:space="preserve"> Dec. 1871 ; it has since been found convenient to transpose as above the definitions of Erf and Erfc). The tables of the functions, and of the functions multiplied by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x2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are as follows. </w:t>
      </w:r>
      <w:r>
        <w:rPr>
          <w:color w:val="000000"/>
          <w:spacing w:val="0"/>
          <w:w w:val="100"/>
          <w:position w:val="0"/>
          <w:shd w:val="clear" w:color="auto" w:fill="auto"/>
          <w:lang w:val="de-DE" w:eastAsia="de-DE" w:bidi="de-DE"/>
        </w:rPr>
        <w:t xml:space="preserve">Kramp, </w:t>
      </w:r>
      <w:r>
        <w:rPr>
          <w:i/>
          <w:iCs/>
          <w:color w:val="000000"/>
          <w:spacing w:val="0"/>
          <w:w w:val="100"/>
          <w:position w:val="0"/>
          <w:shd w:val="clear" w:color="auto" w:fill="auto"/>
          <w:lang w:val="en-US" w:eastAsia="en-US" w:bidi="en-US"/>
        </w:rPr>
        <w:t xml:space="preserve">Analyse </w:t>
      </w:r>
      <w:r>
        <w:rPr>
          <w:i/>
          <w:iCs/>
          <w:color w:val="000000"/>
          <w:spacing w:val="0"/>
          <w:w w:val="100"/>
          <w:position w:val="0"/>
          <w:shd w:val="clear" w:color="auto" w:fill="auto"/>
          <w:lang w:val="fr-FR" w:eastAsia="fr-FR" w:bidi="fr-FR"/>
        </w:rPr>
        <w:t>des Réfractions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(Strasburg, 1798), has Erfc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0</w:t>
      </w:r>
      <w:r>
        <w:rPr>
          <w:i/>
          <w:iCs/>
          <w:color w:val="000000"/>
          <w:spacing w:val="0"/>
          <w:w w:val="100"/>
          <w:position w:val="0"/>
          <w:shd w:val="clear" w:color="auto" w:fill="auto"/>
          <w:lang w:val="en-US" w:eastAsia="en-US" w:bidi="en-US"/>
        </w:rPr>
        <w:t xml:space="preserve"> to</w:t>
      </w:r>
      <w:r>
        <w:rPr>
          <w:color w:val="000000"/>
          <w:spacing w:val="0"/>
          <w:w w:val="100"/>
          <w:position w:val="0"/>
          <w:shd w:val="clear" w:color="auto" w:fill="auto"/>
          <w:lang w:val="en-US" w:eastAsia="en-US" w:bidi="en-US"/>
        </w:rPr>
        <w:t xml:space="preserve"> 3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01 to 8 or more places, also log</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 (Erfc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and log</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(e</w:t>
      </w:r>
      <w:r>
        <w:rPr>
          <w:color w:val="000000"/>
          <w:spacing w:val="0"/>
          <w:w w:val="100"/>
          <w:position w:val="0"/>
          <w:shd w:val="clear" w:color="auto" w:fill="auto"/>
          <w:vertAlign w:val="superscript"/>
          <w:lang w:val="en-US" w:eastAsia="en-US" w:bidi="en-US"/>
        </w:rPr>
        <w:t>x2</w:t>
      </w:r>
      <w:r>
        <w:rPr>
          <w:color w:val="000000"/>
          <w:spacing w:val="0"/>
          <w:w w:val="100"/>
          <w:position w:val="0"/>
          <w:shd w:val="clear" w:color="auto" w:fill="auto"/>
          <w:lang w:val="en-US" w:eastAsia="en-US" w:bidi="en-US"/>
        </w:rPr>
        <w:t xml:space="preserve">Erfc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for the same values to 7 places. Bessel, </w:t>
      </w:r>
      <w:r>
        <w:rPr>
          <w:i/>
          <w:iCs/>
          <w:color w:val="000000"/>
          <w:spacing w:val="0"/>
          <w:w w:val="100"/>
          <w:position w:val="0"/>
          <w:shd w:val="clear" w:color="auto" w:fill="auto"/>
          <w:lang w:val="en-US" w:eastAsia="en-US" w:bidi="en-US"/>
        </w:rPr>
        <w:t>Funda</w:t>
        <w:softHyphen/>
        <w:t xml:space="preserve">menta </w:t>
      </w:r>
      <w:r>
        <w:rPr>
          <w:i/>
          <w:iCs/>
          <w:color w:val="000000"/>
          <w:spacing w:val="0"/>
          <w:w w:val="100"/>
          <w:position w:val="0"/>
          <w:shd w:val="clear" w:color="auto" w:fill="auto"/>
          <w:lang w:val="la-001" w:eastAsia="la-001" w:bidi="la-001"/>
        </w:rPr>
        <w:t>Astronomiae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de-DE" w:eastAsia="de-DE" w:bidi="de-DE"/>
        </w:rPr>
        <w:t xml:space="preserve">(Königsberg, </w:t>
      </w:r>
      <w:r>
        <w:rPr>
          <w:color w:val="000000"/>
          <w:spacing w:val="0"/>
          <w:w w:val="100"/>
          <w:position w:val="0"/>
          <w:shd w:val="clear" w:color="auto" w:fill="auto"/>
          <w:lang w:val="en-US" w:eastAsia="en-US" w:bidi="en-US"/>
        </w:rPr>
        <w:t>1818), has log</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(e</w:t>
      </w:r>
      <w:r>
        <w:rPr>
          <w:color w:val="000000"/>
          <w:spacing w:val="0"/>
          <w:w w:val="100"/>
          <w:position w:val="0"/>
          <w:shd w:val="clear" w:color="auto" w:fill="auto"/>
          <w:vertAlign w:val="superscript"/>
          <w:lang w:val="en-US" w:eastAsia="en-US" w:bidi="en-US"/>
        </w:rPr>
        <w:t>x2</w:t>
      </w:r>
      <w:r>
        <w:rPr>
          <w:color w:val="000000"/>
          <w:spacing w:val="0"/>
          <w:w w:val="100"/>
          <w:position w:val="0"/>
          <w:shd w:val="clear" w:color="auto" w:fill="auto"/>
          <w:lang w:val="en-US" w:eastAsia="en-US" w:bidi="en-US"/>
        </w:rPr>
        <w:t xml:space="preserve">Erfc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0 to 1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1 </w:t>
      </w:r>
      <w:r>
        <w:rPr>
          <w:color w:val="000000"/>
          <w:spacing w:val="0"/>
          <w:w w:val="100"/>
          <w:position w:val="0"/>
          <w:shd w:val="clear" w:color="auto" w:fill="auto"/>
          <w:lang w:val="en-US" w:eastAsia="en-US" w:bidi="en-US"/>
        </w:rPr>
        <w:t>to 7 places, likewise for argument log</w:t>
      </w:r>
      <w:r>
        <w:rPr>
          <w:color w:val="000000"/>
          <w:spacing w:val="0"/>
          <w:w w:val="100"/>
          <w:position w:val="0"/>
          <w:shd w:val="clear" w:color="auto" w:fill="auto"/>
          <w:vertAlign w:val="subscript"/>
          <w:lang w:val="en-US" w:eastAsia="en-US" w:bidi="en-US"/>
        </w:rPr>
        <w:t>10</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the arguments increasing from 0 to 1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01. Legendre, </w:t>
      </w:r>
      <w:r>
        <w:rPr>
          <w:i/>
          <w:iCs/>
          <w:color w:val="000000"/>
          <w:spacing w:val="0"/>
          <w:w w:val="100"/>
          <w:position w:val="0"/>
          <w:shd w:val="clear" w:color="auto" w:fill="auto"/>
          <w:lang w:val="fr-FR" w:eastAsia="fr-FR" w:bidi="fr-FR"/>
        </w:rPr>
        <w:t>Traité des Fonctions Elliptiques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(1826), vol. </w:t>
      </w:r>
      <w:r>
        <w:rPr>
          <w:color w:val="000000"/>
          <w:spacing w:val="0"/>
          <w:w w:val="100"/>
          <w:position w:val="0"/>
          <w:shd w:val="clear" w:color="auto" w:fill="auto"/>
          <w:lang w:val="la-001" w:eastAsia="la-001" w:bidi="la-001"/>
        </w:rPr>
        <w:t xml:space="preserve">ii. </w:t>
      </w:r>
      <w:r>
        <w:rPr>
          <w:color w:val="000000"/>
          <w:spacing w:val="0"/>
          <w:w w:val="100"/>
          <w:position w:val="0"/>
          <w:shd w:val="clear" w:color="auto" w:fill="auto"/>
          <w:lang w:val="en-US" w:eastAsia="en-US" w:bidi="en-US"/>
        </w:rPr>
        <w:t>p. 520, contains Γ(</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w:t>
      </w:r>
      <w:r>
        <w:rPr>
          <w:color w:val="000000"/>
          <w:spacing w:val="0"/>
          <w:w w:val="100"/>
          <w:position w:val="0"/>
          <w:shd w:val="clear" w:color="auto" w:fill="auto"/>
          <w:vertAlign w:val="superscript"/>
          <w:lang w:val="en-US" w:eastAsia="en-US" w:bidi="en-US"/>
        </w:rPr>
        <w:t>-χ2</w:t>
      </w:r>
      <w:r>
        <w:rPr>
          <w:color w:val="000000"/>
          <w:spacing w:val="0"/>
          <w:w w:val="100"/>
          <w:position w:val="0"/>
          <w:shd w:val="clear" w:color="auto" w:fill="auto"/>
          <w:lang w:val="en-US" w:eastAsia="en-US" w:bidi="en-US"/>
        </w:rPr>
        <w:t xml:space="preserve">), that is, 2 Erfc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0 to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 xml:space="preserve">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01 to 10 2 places. Encke, </w:t>
      </w:r>
      <w:r>
        <w:rPr>
          <w:i/>
          <w:iCs/>
          <w:color w:val="000000"/>
          <w:spacing w:val="0"/>
          <w:w w:val="100"/>
          <w:position w:val="0"/>
          <w:shd w:val="clear" w:color="auto" w:fill="auto"/>
          <w:lang w:val="en-US" w:eastAsia="en-US" w:bidi="en-US"/>
        </w:rPr>
        <w:t xml:space="preserve">Berliner </w:t>
      </w:r>
      <w:r>
        <w:rPr>
          <w:i/>
          <w:iCs/>
          <w:color w:val="000000"/>
          <w:spacing w:val="0"/>
          <w:w w:val="100"/>
          <w:position w:val="0"/>
          <w:shd w:val="clear" w:color="auto" w:fill="auto"/>
          <w:lang w:val="de-DE" w:eastAsia="de-DE" w:bidi="de-DE"/>
        </w:rPr>
        <w:t xml:space="preserve">Ast. Jahrbuch </w:t>
      </w:r>
      <w:r>
        <w:rPr>
          <w:i/>
          <w:iCs/>
          <w:color w:val="000000"/>
          <w:spacing w:val="0"/>
          <w:w w:val="100"/>
          <w:position w:val="0"/>
          <w:shd w:val="clear" w:color="auto" w:fill="auto"/>
          <w:lang w:val="en-US" w:eastAsia="en-US" w:bidi="en-US"/>
        </w:rPr>
        <w:t>for</w:t>
      </w:r>
      <w:r>
        <w:rPr>
          <w:color w:val="000000"/>
          <w:spacing w:val="0"/>
          <w:w w:val="100"/>
          <w:position w:val="0"/>
          <w:shd w:val="clear" w:color="auto" w:fill="auto"/>
          <w:lang w:val="en-US" w:eastAsia="en-US" w:bidi="en-US"/>
        </w:rPr>
        <w:t xml:space="preserve"> 1834, prints 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π</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Erf</w:t>
      </w:r>
      <w:r>
        <w:rPr>
          <w:i/>
          <w:iCs/>
          <w:color w:val="000000"/>
          <w:spacing w:val="0"/>
          <w:w w:val="100"/>
          <w:position w:val="0"/>
          <w:shd w:val="clear" w:color="auto" w:fill="auto"/>
          <w:lang w:val="en-US" w:eastAsia="en-US" w:bidi="en-US"/>
        </w:rPr>
        <w:t>x</w:t>
      </w:r>
    </w:p>
    <w:p>
      <w:pPr>
        <w:pStyle w:val="Style3"/>
        <w:keepNext w:val="0"/>
        <w:keepLines w:val="0"/>
        <w:widowControl w:val="0"/>
        <w:shd w:val="clear" w:color="auto" w:fill="auto"/>
        <w:bidi w:val="0"/>
        <w:spacing w:line="137" w:lineRule="auto"/>
        <w:ind w:left="0" w:firstLine="0"/>
        <w:jc w:val="left"/>
      </w:pPr>
      <w:r>
        <w:rPr>
          <w:color w:val="000000"/>
          <w:spacing w:val="0"/>
          <w:w w:val="100"/>
          <w:position w:val="0"/>
          <w:shd w:val="clear" w:color="auto" w:fill="auto"/>
          <w:lang w:val="en-US" w:eastAsia="en-US" w:bidi="en-US"/>
        </w:rPr>
        <w:t xml:space="preserve">from </w:t>
      </w:r>
      <w:r>
        <w:rPr>
          <w:i/>
          <w:iCs/>
          <w:color w:val="000000"/>
          <w:spacing w:val="0"/>
          <w:w w:val="100"/>
          <w:position w:val="0"/>
          <w:shd w:val="clear" w:color="auto" w:fill="auto"/>
          <w:lang w:val="fr-FR" w:eastAsia="fr-FR" w:bidi="fr-FR"/>
        </w:rPr>
        <w:t>x</w:t>
      </w:r>
      <w:r>
        <w:rPr>
          <w:color w:val="000000"/>
          <w:spacing w:val="0"/>
          <w:w w:val="100"/>
          <w:position w:val="0"/>
          <w:shd w:val="clear" w:color="auto" w:fill="auto"/>
          <w:lang w:val="en-US" w:eastAsia="en-US" w:bidi="en-US"/>
        </w:rPr>
        <w:t xml:space="preserve">=0 to 2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01 to 7 places and Erf (</w:t>
      </w:r>
      <w:r>
        <w:rPr>
          <w:i/>
          <w:iCs/>
          <w:color w:val="000000"/>
          <w:spacing w:val="0"/>
          <w:w w:val="100"/>
          <w:position w:val="0"/>
          <w:shd w:val="clear" w:color="auto" w:fill="auto"/>
          <w:lang w:val="en-US" w:eastAsia="en-US" w:bidi="en-US"/>
        </w:rPr>
        <w:t>ρx</w:t>
      </w:r>
      <w:r>
        <w:rPr>
          <w:color w:val="000000"/>
          <w:spacing w:val="0"/>
          <w:w w:val="100"/>
          <w:position w:val="0"/>
          <w:shd w:val="clear" w:color="auto" w:fill="auto"/>
          <w:lang w:val="en-US" w:eastAsia="en-US" w:bidi="en-US"/>
        </w:rPr>
        <w:t>) from</w:t>
      </w:r>
    </w:p>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fr-FR" w:eastAsia="fr-FR" w:bidi="fr-FR"/>
        </w:rPr>
        <w:t>x</w:t>
      </w:r>
      <w:r>
        <w:rPr>
          <w:color w:val="000000"/>
          <w:spacing w:val="0"/>
          <w:w w:val="100"/>
          <w:position w:val="0"/>
          <w:shd w:val="clear" w:color="auto" w:fill="auto"/>
          <w:lang w:val="en-US" w:eastAsia="en-US" w:bidi="en-US"/>
        </w:rPr>
        <w:t>=0 to 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4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01 and thence to 5 at intervals of </w:t>
      </w:r>
      <w:r>
        <w:rPr>
          <w:color w:val="000000"/>
          <w:spacing w:val="0"/>
          <w:w w:val="100"/>
          <w:position w:val="0"/>
          <w:shd w:val="clear" w:color="auto" w:fill="auto"/>
          <w:lang w:val="el-GR" w:eastAsia="el-GR" w:bidi="el-GR"/>
        </w:rPr>
        <w:t xml:space="preserve">Ί </w:t>
      </w:r>
      <w:r>
        <w:rPr>
          <w:color w:val="000000"/>
          <w:spacing w:val="0"/>
          <w:w w:val="100"/>
          <w:position w:val="0"/>
          <w:shd w:val="clear" w:color="auto" w:fill="auto"/>
          <w:lang w:val="en-US" w:eastAsia="en-US" w:bidi="en-US"/>
        </w:rPr>
        <w:t xml:space="preserve">to 5 places, ρ being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4769360. Glaisher, in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December 1871, has calculated Erfc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=3 to 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5 at intervals of </w:t>
      </w:r>
      <w:r>
        <w:rPr>
          <w:color w:val="000000"/>
          <w:spacing w:val="0"/>
          <w:w w:val="100"/>
          <w:position w:val="0"/>
          <w:shd w:val="clear" w:color="auto" w:fill="auto"/>
          <w:lang w:val="el-GR" w:eastAsia="el-GR" w:bidi="el-GR"/>
        </w:rPr>
        <w:t xml:space="preserve">Ό1 </w:t>
      </w:r>
      <w:r>
        <w:rPr>
          <w:color w:val="000000"/>
          <w:spacing w:val="0"/>
          <w:w w:val="100"/>
          <w:position w:val="0"/>
          <w:shd w:val="clear" w:color="auto" w:fill="auto"/>
          <w:lang w:val="en-US" w:eastAsia="en-US" w:bidi="en-US"/>
        </w:rPr>
        <w:t xml:space="preserve">to 11, 13, or 14 places. Encke’s tables and two of Kramp’s were reprinted in the </w:t>
      </w:r>
      <w:r>
        <w:rPr>
          <w:i/>
          <w:iCs/>
          <w:color w:val="000000"/>
          <w:spacing w:val="0"/>
          <w:w w:val="100"/>
          <w:position w:val="0"/>
          <w:shd w:val="clear" w:color="auto" w:fill="auto"/>
          <w:lang w:val="fr-FR" w:eastAsia="fr-FR" w:bidi="fr-FR"/>
        </w:rPr>
        <w:t xml:space="preserve">Encyclopædia </w:t>
      </w:r>
      <w:r>
        <w:rPr>
          <w:i/>
          <w:iCs/>
          <w:color w:val="000000"/>
          <w:spacing w:val="0"/>
          <w:w w:val="100"/>
          <w:position w:val="0"/>
          <w:shd w:val="clear" w:color="auto" w:fill="auto"/>
          <w:lang w:val="de-DE" w:eastAsia="de-DE" w:bidi="de-DE"/>
        </w:rPr>
        <w:t>Metropolitana,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art. “Probabilities.”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Tables of Integrals, not Numerical.—</w:t>
      </w:r>
      <w:r>
        <w:rPr>
          <w:color w:val="000000"/>
          <w:spacing w:val="0"/>
          <w:w w:val="100"/>
          <w:position w:val="0"/>
          <w:shd w:val="clear" w:color="auto" w:fill="auto"/>
          <w:lang w:val="en-US" w:eastAsia="en-US" w:bidi="en-US"/>
        </w:rPr>
        <w:t xml:space="preserve">Meyer </w:t>
      </w:r>
      <w:r>
        <w:rPr>
          <w:color w:val="000000"/>
          <w:spacing w:val="0"/>
          <w:w w:val="100"/>
          <w:position w:val="0"/>
          <w:shd w:val="clear" w:color="auto" w:fill="auto"/>
          <w:lang w:val="de-DE" w:eastAsia="de-DE" w:bidi="de-DE"/>
        </w:rPr>
        <w:t xml:space="preserve">Hirsch, </w:t>
      </w:r>
      <w:r>
        <w:rPr>
          <w:i/>
          <w:iCs/>
          <w:color w:val="000000"/>
          <w:spacing w:val="0"/>
          <w:w w:val="100"/>
          <w:position w:val="0"/>
          <w:shd w:val="clear" w:color="auto" w:fill="auto"/>
          <w:lang w:val="de-DE" w:eastAsia="de-DE" w:bidi="de-DE"/>
        </w:rPr>
        <w:t>Integral</w:t>
        <w:softHyphen/>
        <w:t>tafeln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(1810 ; </w:t>
      </w:r>
      <w:r>
        <w:rPr>
          <w:color w:val="000000"/>
          <w:spacing w:val="0"/>
          <w:w w:val="100"/>
          <w:position w:val="0"/>
          <w:shd w:val="clear" w:color="auto" w:fill="auto"/>
          <w:lang w:val="de-DE" w:eastAsia="de-DE" w:bidi="de-DE"/>
        </w:rPr>
        <w:t xml:space="preserve">Eng. </w:t>
      </w:r>
      <w:r>
        <w:rPr>
          <w:color w:val="000000"/>
          <w:spacing w:val="0"/>
          <w:w w:val="100"/>
          <w:position w:val="0"/>
          <w:shd w:val="clear" w:color="auto" w:fill="auto"/>
          <w:lang w:val="en-US" w:eastAsia="en-US" w:bidi="en-US"/>
        </w:rPr>
        <w:t xml:space="preserve">trans., 1823), and Minding, </w:t>
      </w:r>
      <w:r>
        <w:rPr>
          <w:i/>
          <w:iCs/>
          <w:color w:val="000000"/>
          <w:spacing w:val="0"/>
          <w:w w:val="100"/>
          <w:position w:val="0"/>
          <w:shd w:val="clear" w:color="auto" w:fill="auto"/>
          <w:lang w:val="de-DE" w:eastAsia="de-DE" w:bidi="de-DE"/>
        </w:rPr>
        <w:t>Integraltafeln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(Berlin, 1849), give values of indefinite integrals and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of reduction ; both are useful and valuable works. De Haan, </w:t>
      </w:r>
      <w:r>
        <w:rPr>
          <w:i/>
          <w:iCs/>
          <w:color w:val="000000"/>
          <w:spacing w:val="0"/>
          <w:w w:val="100"/>
          <w:position w:val="0"/>
          <w:shd w:val="clear" w:color="auto" w:fill="auto"/>
          <w:lang w:val="en-US" w:eastAsia="en-US" w:bidi="en-US"/>
        </w:rPr>
        <w:t xml:space="preserve">Nouvelles Tables </w:t>
      </w:r>
      <w:r>
        <w:rPr>
          <w:i/>
          <w:iCs/>
          <w:color w:val="000000"/>
          <w:spacing w:val="0"/>
          <w:w w:val="100"/>
          <w:position w:val="0"/>
          <w:shd w:val="clear" w:color="auto" w:fill="auto"/>
          <w:lang w:val="fr-FR" w:eastAsia="fr-FR" w:bidi="fr-FR"/>
        </w:rPr>
        <w:t>d'intégrales Définies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(Leyden, 1867), is a quarto volume of 727 pages containing evaluations of definite integrals, arranged in 485 tables. The first edition appeared in vol. iv. of the </w:t>
      </w:r>
      <w:r>
        <w:rPr>
          <w:i/>
          <w:iCs/>
          <w:color w:val="000000"/>
          <w:spacing w:val="0"/>
          <w:w w:val="100"/>
          <w:position w:val="0"/>
          <w:shd w:val="clear" w:color="auto" w:fill="auto"/>
          <w:lang w:val="en-US" w:eastAsia="en-US" w:bidi="en-US"/>
        </w:rPr>
        <w:t>Transactions</w:t>
      </w:r>
      <w:r>
        <w:rPr>
          <w:color w:val="000000"/>
          <w:spacing w:val="0"/>
          <w:w w:val="100"/>
          <w:position w:val="0"/>
          <w:shd w:val="clear" w:color="auto" w:fill="auto"/>
          <w:lang w:val="en-US" w:eastAsia="en-US" w:bidi="en-US"/>
        </w:rPr>
        <w:t xml:space="preserve"> of the Amsterdam Academy of Sciences. This, though not so full and accurate as the second edition, gives references to the original memoirs in which the different integrals are considered.</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Tables relating to the Theory of Numbers.—</w:t>
      </w:r>
      <w:r>
        <w:rPr>
          <w:color w:val="000000"/>
          <w:spacing w:val="0"/>
          <w:w w:val="100"/>
          <w:position w:val="0"/>
          <w:shd w:val="clear" w:color="auto" w:fill="auto"/>
          <w:lang w:val="en-US" w:eastAsia="en-US" w:bidi="en-US"/>
        </w:rPr>
        <w:t>These are of so tech</w:t>
        <w:softHyphen/>
        <w:t xml:space="preserve">nical a character and so numerous that a full account cannot be attempted here. The reader is referred to Cayley’s paper in the </w:t>
      </w:r>
      <w:r>
        <w:rPr>
          <w:i/>
          <w:iCs/>
          <w:color w:val="000000"/>
          <w:spacing w:val="0"/>
          <w:w w:val="100"/>
          <w:position w:val="0"/>
          <w:shd w:val="clear" w:color="auto" w:fill="auto"/>
          <w:lang w:val="en-US" w:eastAsia="en-US" w:bidi="en-US"/>
        </w:rPr>
        <w:t>Brit. Assoc. Rep.</w:t>
      </w:r>
      <w:r>
        <w:rPr>
          <w:color w:val="000000"/>
          <w:spacing w:val="0"/>
          <w:w w:val="100"/>
          <w:position w:val="0"/>
          <w:shd w:val="clear" w:color="auto" w:fill="auto"/>
          <w:lang w:val="en-US" w:eastAsia="en-US" w:bidi="en-US"/>
        </w:rPr>
        <w:t xml:space="preserve"> for 1875, where a full description with references is given. Three tables may, however, be briefly noticed on account of their importance and because they form separate volumes : (1) Degen, </w:t>
      </w:r>
      <w:r>
        <w:rPr>
          <w:i/>
          <w:iCs/>
          <w:color w:val="000000"/>
          <w:spacing w:val="0"/>
          <w:w w:val="100"/>
          <w:position w:val="0"/>
          <w:shd w:val="clear" w:color="auto" w:fill="auto"/>
          <w:lang w:val="en-US" w:eastAsia="en-US" w:bidi="en-US"/>
        </w:rPr>
        <w:t>Canon Pcllianus</w:t>
      </w:r>
      <w:r>
        <w:rPr>
          <w:color w:val="000000"/>
          <w:spacing w:val="0"/>
          <w:w w:val="100"/>
          <w:position w:val="0"/>
          <w:shd w:val="clear" w:color="auto" w:fill="auto"/>
          <w:lang w:val="en-US" w:eastAsia="en-US" w:bidi="en-US"/>
        </w:rPr>
        <w:t xml:space="preserve"> (Copenhagen, 1817), relates to the inde</w:t>
        <w:softHyphen/>
        <w:t xml:space="preserve">terminate equation </w:t>
      </w:r>
      <w:r>
        <w:rPr>
          <w:i/>
          <w:iCs/>
          <w:color w:val="000000"/>
          <w:spacing w:val="0"/>
          <w:w w:val="100"/>
          <w:position w:val="0"/>
          <w:shd w:val="clear" w:color="auto" w:fill="auto"/>
          <w:lang w:val="en-US" w:eastAsia="en-US" w:bidi="en-US"/>
        </w:rPr>
        <w:t>y</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 ax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1 for values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from 1 to 1000. It in fact gives the expression for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as a continued fraction ; (2) Jacobi, </w:t>
      </w:r>
      <w:r>
        <w:rPr>
          <w:i/>
          <w:iCs/>
          <w:color w:val="000000"/>
          <w:spacing w:val="0"/>
          <w:w w:val="100"/>
          <w:position w:val="0"/>
          <w:shd w:val="clear" w:color="auto" w:fill="auto"/>
          <w:lang w:val="en-US" w:eastAsia="en-US" w:bidi="en-US"/>
        </w:rPr>
        <w:t xml:space="preserve">Canon </w:t>
      </w:r>
      <w:r>
        <w:rPr>
          <w:i/>
          <w:iCs/>
          <w:color w:val="000000"/>
          <w:spacing w:val="0"/>
          <w:w w:val="100"/>
          <w:position w:val="0"/>
          <w:shd w:val="clear" w:color="auto" w:fill="auto"/>
          <w:lang w:val="la-001" w:eastAsia="la-001" w:bidi="la-001"/>
        </w:rPr>
        <w:t>Arithmeticus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(Berlin, 1839), is a quarto work contain</w:t>
        <w:softHyphen/>
        <w:t>ing 240 pages of tables, where we find for each prime up to 1000 the numbers corresponding to given indices and the indices corre</w:t>
        <w:softHyphen/>
        <w:t xml:space="preserve">sponding to given numbers, a certain primitive root (10 is taken whenever it is a primitive root) of the prime being selected as base ; (3) Reuschle, </w:t>
      </w:r>
      <w:r>
        <w:rPr>
          <w:i/>
          <w:iCs/>
          <w:color w:val="000000"/>
          <w:spacing w:val="0"/>
          <w:w w:val="100"/>
          <w:position w:val="0"/>
          <w:shd w:val="clear" w:color="auto" w:fill="auto"/>
          <w:lang w:val="de-DE" w:eastAsia="de-DE" w:bidi="de-DE"/>
        </w:rPr>
        <w:t xml:space="preserve">Tafeln </w:t>
      </w:r>
      <w:r>
        <w:rPr>
          <w:i/>
          <w:iCs/>
          <w:color w:val="000000"/>
          <w:spacing w:val="0"/>
          <w:w w:val="100"/>
          <w:position w:val="0"/>
          <w:shd w:val="clear" w:color="auto" w:fill="auto"/>
          <w:lang w:val="la-001" w:eastAsia="la-001" w:bidi="la-001"/>
        </w:rPr>
        <w:t xml:space="preserve">complexer </w:t>
      </w:r>
      <w:r>
        <w:rPr>
          <w:i/>
          <w:iCs/>
          <w:color w:val="000000"/>
          <w:spacing w:val="0"/>
          <w:w w:val="100"/>
          <w:position w:val="0"/>
          <w:shd w:val="clear" w:color="auto" w:fill="auto"/>
          <w:lang w:val="de-DE" w:eastAsia="de-DE" w:bidi="de-DE"/>
        </w:rPr>
        <w:t>Primzahlen, welche aus Wurzeln der Einheit gebildet sind</w:t>
      </w:r>
      <w:r>
        <w:rPr>
          <w:color w:val="000000"/>
          <w:spacing w:val="0"/>
          <w:w w:val="100"/>
          <w:position w:val="0"/>
          <w:shd w:val="clear" w:color="auto" w:fill="auto"/>
          <w:lang w:val="de-DE" w:eastAsia="de-DE" w:bidi="de-DE"/>
        </w:rPr>
        <w:t xml:space="preserve"> (Berlin, </w:t>
      </w:r>
      <w:r>
        <w:rPr>
          <w:color w:val="000000"/>
          <w:spacing w:val="0"/>
          <w:w w:val="100"/>
          <w:position w:val="0"/>
          <w:shd w:val="clear" w:color="auto" w:fill="auto"/>
          <w:lang w:val="en-US" w:eastAsia="en-US" w:bidi="en-US"/>
        </w:rPr>
        <w:t xml:space="preserve">1875), </w:t>
      </w:r>
      <w:r>
        <w:rPr>
          <w:color w:val="000000"/>
          <w:spacing w:val="0"/>
          <w:w w:val="100"/>
          <w:position w:val="0"/>
          <w:shd w:val="clear" w:color="auto" w:fill="auto"/>
          <w:lang w:val="la-001" w:eastAsia="la-001" w:bidi="la-001"/>
        </w:rPr>
        <w:t xml:space="preserve">includes </w:t>
      </w:r>
      <w:r>
        <w:rPr>
          <w:color w:val="000000"/>
          <w:spacing w:val="0"/>
          <w:w w:val="100"/>
          <w:position w:val="0"/>
          <w:shd w:val="clear" w:color="auto" w:fill="auto"/>
          <w:lang w:val="de-DE" w:eastAsia="de-DE" w:bidi="de-DE"/>
        </w:rPr>
        <w:t xml:space="preserve">an </w:t>
      </w:r>
      <w:r>
        <w:rPr>
          <w:color w:val="000000"/>
          <w:spacing w:val="0"/>
          <w:w w:val="100"/>
          <w:position w:val="0"/>
          <w:shd w:val="clear" w:color="auto" w:fill="auto"/>
          <w:lang w:val="en-US" w:eastAsia="en-US" w:bidi="en-US"/>
        </w:rPr>
        <w:t xml:space="preserve">enormous </w:t>
      </w:r>
      <w:r>
        <w:rPr>
          <w:color w:val="000000"/>
          <w:spacing w:val="0"/>
          <w:w w:val="100"/>
          <w:position w:val="0"/>
          <w:shd w:val="clear" w:color="auto" w:fill="auto"/>
          <w:lang w:val="de-DE" w:eastAsia="de-DE" w:bidi="de-DE"/>
        </w:rPr>
        <w:t xml:space="preserve">mass </w:t>
      </w:r>
      <w:r>
        <w:rPr>
          <w:color w:val="000000"/>
          <w:spacing w:val="0"/>
          <w:w w:val="100"/>
          <w:position w:val="0"/>
          <w:shd w:val="clear" w:color="auto" w:fill="auto"/>
          <w:lang w:val="en-US" w:eastAsia="en-US" w:bidi="en-US"/>
        </w:rPr>
        <w:t>of results relating to the higher complex theories. A table of χ(</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where χ(n) denotes the sum of the complex numbers which have </w:t>
      </w:r>
      <w:r>
        <w:rPr>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 xml:space="preserve">for their norm for primes up to n=13,000 (cf. </w:t>
      </w:r>
      <w:r>
        <w:rPr>
          <w:i/>
          <w:iCs/>
          <w:color w:val="000000"/>
          <w:spacing w:val="0"/>
          <w:w w:val="100"/>
          <w:position w:val="0"/>
          <w:shd w:val="clear" w:color="auto" w:fill="auto"/>
          <w:lang w:val="en-US" w:eastAsia="en-US" w:bidi="en-US"/>
        </w:rPr>
        <w:t>Quart. Journ.,</w:t>
      </w:r>
      <w:r>
        <w:rPr>
          <w:color w:val="000000"/>
          <w:spacing w:val="0"/>
          <w:w w:val="100"/>
          <w:position w:val="0"/>
          <w:shd w:val="clear" w:color="auto" w:fill="auto"/>
          <w:lang w:val="en-US" w:eastAsia="en-US" w:bidi="en-US"/>
        </w:rPr>
        <w:t xml:space="preserve"> vol. xx. p. 152), has been published since the date of Cayley’s report. Some tables that belong to the theory of numbers have been described above under “ Factor Tables ” (p. 7).</w:t>
      </w:r>
    </w:p>
    <w:p>
      <w:pPr>
        <w:pStyle w:val="Style11"/>
        <w:keepNext w:val="0"/>
        <w:keepLines w:val="0"/>
        <w:widowControl w:val="0"/>
        <w:shd w:val="clear" w:color="auto" w:fill="auto"/>
        <w:tabs>
          <w:tab w:pos="3690" w:val="left"/>
        </w:tabs>
        <w:bidi w:val="0"/>
        <w:ind w:left="0" w:firstLine="360"/>
        <w:jc w:val="left"/>
      </w:pPr>
      <w:r>
        <w:rPr>
          <w:i/>
          <w:iC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Full bibliographical and historical information relating to tables is collected in </w:t>
      </w:r>
      <w:r>
        <w:rPr>
          <w:i/>
          <w:iCs/>
          <w:color w:val="000000"/>
          <w:spacing w:val="0"/>
          <w:w w:val="100"/>
          <w:position w:val="0"/>
          <w:shd w:val="clear" w:color="auto" w:fill="auto"/>
          <w:lang w:val="en-US" w:eastAsia="en-US" w:bidi="en-US"/>
        </w:rPr>
        <w:t>Brit. Assoc. Bep.</w:t>
      </w:r>
      <w:r>
        <w:rPr>
          <w:color w:val="000000"/>
          <w:spacing w:val="0"/>
          <w:w w:val="100"/>
          <w:position w:val="0"/>
          <w:shd w:val="clear" w:color="auto" w:fill="auto"/>
          <w:lang w:val="en-US" w:eastAsia="en-US" w:bidi="en-US"/>
        </w:rPr>
        <w:t xml:space="preserve"> for 1873, p. 6. The principal works are : —</w:t>
      </w:r>
      <w:r>
        <w:rPr>
          <w:color w:val="000000"/>
          <w:spacing w:val="0"/>
          <w:w w:val="100"/>
          <w:position w:val="0"/>
          <w:shd w:val="clear" w:color="auto" w:fill="auto"/>
          <w:lang w:val="de-DE" w:eastAsia="de-DE" w:bidi="de-DE"/>
        </w:rPr>
        <w:t xml:space="preserve">Heilbronner, </w:t>
      </w:r>
      <w:r>
        <w:rPr>
          <w:i/>
          <w:iCs/>
          <w:color w:val="000000"/>
          <w:spacing w:val="0"/>
          <w:w w:val="100"/>
          <w:position w:val="0"/>
          <w:shd w:val="clear" w:color="auto" w:fill="auto"/>
          <w:lang w:val="en-US" w:eastAsia="en-US" w:bidi="en-US"/>
        </w:rPr>
        <w:t xml:space="preserve">Historia </w:t>
      </w:r>
      <w:r>
        <w:rPr>
          <w:i/>
          <w:iCs/>
          <w:color w:val="000000"/>
          <w:spacing w:val="0"/>
          <w:w w:val="100"/>
          <w:position w:val="0"/>
          <w:shd w:val="clear" w:color="auto" w:fill="auto"/>
          <w:lang w:val="de-DE" w:eastAsia="de-DE" w:bidi="de-DE"/>
        </w:rPr>
        <w:t>Matheseos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1742), the arithmetical portion being at the end ; Scheibel, </w:t>
      </w:r>
      <w:r>
        <w:rPr>
          <w:i/>
          <w:iCs/>
          <w:color w:val="000000"/>
          <w:spacing w:val="0"/>
          <w:w w:val="100"/>
          <w:position w:val="0"/>
          <w:shd w:val="clear" w:color="auto" w:fill="auto"/>
          <w:lang w:val="en-US" w:eastAsia="en-US" w:bidi="en-US"/>
        </w:rPr>
        <w:t xml:space="preserve">Einleitung </w:t>
      </w:r>
      <w:r>
        <w:rPr>
          <w:i/>
          <w:iCs/>
          <w:color w:val="000000"/>
          <w:spacing w:val="0"/>
          <w:w w:val="100"/>
          <w:position w:val="0"/>
          <w:shd w:val="clear" w:color="auto" w:fill="auto"/>
          <w:lang w:val="de-DE" w:eastAsia="de-DE" w:bidi="de-DE"/>
        </w:rPr>
        <w:t>zur mathematischen Bücherkenntniss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(Breslau, 1771-84); </w:t>
      </w:r>
      <w:r>
        <w:rPr>
          <w:color w:val="000000"/>
          <w:spacing w:val="0"/>
          <w:w w:val="100"/>
          <w:position w:val="0"/>
          <w:shd w:val="clear" w:color="auto" w:fill="auto"/>
          <w:lang w:val="de-DE" w:eastAsia="de-DE" w:bidi="de-DE"/>
        </w:rPr>
        <w:t xml:space="preserve">Kästner, </w:t>
      </w:r>
      <w:r>
        <w:rPr>
          <w:i/>
          <w:iCs/>
          <w:color w:val="000000"/>
          <w:spacing w:val="0"/>
          <w:w w:val="100"/>
          <w:position w:val="0"/>
          <w:shd w:val="clear" w:color="auto" w:fill="auto"/>
          <w:lang w:val="en-US" w:eastAsia="en-US" w:bidi="en-US"/>
        </w:rPr>
        <w:t xml:space="preserve">Geschichte </w:t>
      </w:r>
      <w:r>
        <w:rPr>
          <w:i/>
          <w:iCs/>
          <w:color w:val="000000"/>
          <w:spacing w:val="0"/>
          <w:w w:val="100"/>
          <w:position w:val="0"/>
          <w:shd w:val="clear" w:color="auto" w:fill="auto"/>
          <w:lang w:val="de-DE" w:eastAsia="de-DE" w:bidi="de-DE"/>
        </w:rPr>
        <w:t>der Mathematik</w:t>
      </w:r>
      <w:r>
        <w:rPr>
          <w:color w:val="000000"/>
          <w:spacing w:val="0"/>
          <w:w w:val="100"/>
          <w:position w:val="0"/>
          <w:shd w:val="clear" w:color="auto" w:fill="auto"/>
          <w:lang w:val="de-DE" w:eastAsia="de-DE" w:bidi="de-DE"/>
        </w:rPr>
        <w:t xml:space="preserve"> (Göttingen, </w:t>
      </w:r>
      <w:r>
        <w:rPr>
          <w:color w:val="000000"/>
          <w:spacing w:val="0"/>
          <w:w w:val="100"/>
          <w:position w:val="0"/>
          <w:shd w:val="clear" w:color="auto" w:fill="auto"/>
          <w:lang w:val="en-US" w:eastAsia="en-US" w:bidi="en-US"/>
        </w:rPr>
        <w:t xml:space="preserve">1796-1800), vol. </w:t>
      </w:r>
      <w:r>
        <w:rPr>
          <w:color w:val="000000"/>
          <w:spacing w:val="0"/>
          <w:w w:val="100"/>
          <w:position w:val="0"/>
          <w:shd w:val="clear" w:color="auto" w:fill="auto"/>
          <w:lang w:val="de-DE" w:eastAsia="de-DE" w:bidi="de-DE"/>
        </w:rPr>
        <w:t xml:space="preserve">iii. ; </w:t>
      </w:r>
      <w:r>
        <w:rPr>
          <w:color w:val="000000"/>
          <w:spacing w:val="0"/>
          <w:w w:val="100"/>
          <w:position w:val="0"/>
          <w:shd w:val="clear" w:color="auto" w:fill="auto"/>
          <w:lang w:val="en-US" w:eastAsia="en-US" w:bidi="en-US"/>
        </w:rPr>
        <w:t xml:space="preserve">Murhard, </w:t>
      </w:r>
      <w:r>
        <w:rPr>
          <w:i/>
          <w:iCs/>
          <w:color w:val="000000"/>
          <w:spacing w:val="0"/>
          <w:w w:val="100"/>
          <w:position w:val="0"/>
          <w:shd w:val="clear" w:color="auto" w:fill="auto"/>
          <w:lang w:val="en-US" w:eastAsia="en-US" w:bidi="en-US"/>
        </w:rPr>
        <w:t xml:space="preserve">Bibliotheca </w:t>
      </w:r>
      <w:r>
        <w:rPr>
          <w:i/>
          <w:iCs/>
          <w:color w:val="000000"/>
          <w:spacing w:val="0"/>
          <w:w w:val="100"/>
          <w:position w:val="0"/>
          <w:shd w:val="clear" w:color="auto" w:fill="auto"/>
          <w:lang w:val="la-001" w:eastAsia="la-001" w:bidi="la-001"/>
        </w:rPr>
        <w:t>Mathematica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(Leipsic, 1797-1804), vol. ii.; Rogg, </w:t>
      </w:r>
      <w:r>
        <w:rPr>
          <w:i/>
          <w:iCs/>
          <w:color w:val="000000"/>
          <w:spacing w:val="0"/>
          <w:w w:val="100"/>
          <w:position w:val="0"/>
          <w:shd w:val="clear" w:color="auto" w:fill="auto"/>
          <w:lang w:val="en-US" w:eastAsia="en-US" w:bidi="en-US"/>
        </w:rPr>
        <w:t xml:space="preserve">Bibliotheca </w:t>
      </w:r>
      <w:r>
        <w:rPr>
          <w:i/>
          <w:iCs/>
          <w:color w:val="000000"/>
          <w:spacing w:val="0"/>
          <w:w w:val="100"/>
          <w:position w:val="0"/>
          <w:shd w:val="clear" w:color="auto" w:fill="auto"/>
          <w:lang w:val="la-001" w:eastAsia="la-001" w:bidi="la-001"/>
        </w:rPr>
        <w:t>Mathematica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de-DE" w:eastAsia="de-DE" w:bidi="de-DE"/>
        </w:rPr>
        <w:t xml:space="preserve">(Tübingen, </w:t>
      </w:r>
      <w:r>
        <w:rPr>
          <w:color w:val="000000"/>
          <w:spacing w:val="0"/>
          <w:w w:val="100"/>
          <w:position w:val="0"/>
          <w:shd w:val="clear" w:color="auto" w:fill="auto"/>
          <w:lang w:val="en-US" w:eastAsia="en-US" w:bidi="en-US"/>
        </w:rPr>
        <w:t xml:space="preserve">1830), and continuation from 1830 to 1854 by Sohnke (Leipsic and London, 1854) ; </w:t>
      </w:r>
      <w:r>
        <w:rPr>
          <w:color w:val="000000"/>
          <w:spacing w:val="0"/>
          <w:w w:val="100"/>
          <w:position w:val="0"/>
          <w:shd w:val="clear" w:color="auto" w:fill="auto"/>
          <w:lang w:val="fr-FR" w:eastAsia="fr-FR" w:bidi="fr-FR"/>
        </w:rPr>
        <w:t xml:space="preserve">Lalande, </w:t>
      </w:r>
      <w:r>
        <w:rPr>
          <w:i/>
          <w:iCs/>
          <w:color w:val="000000"/>
          <w:spacing w:val="0"/>
          <w:w w:val="100"/>
          <w:position w:val="0"/>
          <w:shd w:val="clear" w:color="auto" w:fill="auto"/>
          <w:lang w:val="fr-FR" w:eastAsia="fr-FR" w:bidi="fr-FR"/>
        </w:rPr>
        <w:t>Bibliographie Astronomique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1803), a separate index on p. 960. A great deal of accurate information upon early tables is given by Delambre,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 xml:space="preserve">de l' </w:t>
      </w:r>
      <w:r>
        <w:rPr>
          <w:i/>
          <w:iCs/>
          <w:color w:val="000000"/>
          <w:spacing w:val="0"/>
          <w:w w:val="100"/>
          <w:position w:val="0"/>
          <w:shd w:val="clear" w:color="auto" w:fill="auto"/>
          <w:lang w:val="fr-FR" w:eastAsia="fr-FR" w:bidi="fr-FR"/>
        </w:rPr>
        <w:t>Astronomie Moderne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1821), vol. i. ; and Nos. xix. and xx. of Hutton’s </w:t>
      </w:r>
      <w:r>
        <w:rPr>
          <w:i/>
          <w:iCs/>
          <w:color w:val="000000"/>
          <w:spacing w:val="0"/>
          <w:w w:val="100"/>
          <w:position w:val="0"/>
          <w:shd w:val="clear" w:color="auto" w:fill="auto"/>
          <w:lang w:val="en-US" w:eastAsia="en-US" w:bidi="en-US"/>
        </w:rPr>
        <w:t>Mathematical Tracts</w:t>
      </w:r>
      <w:r>
        <w:rPr>
          <w:color w:val="000000"/>
          <w:spacing w:val="0"/>
          <w:w w:val="100"/>
          <w:position w:val="0"/>
          <w:shd w:val="clear" w:color="auto" w:fill="auto"/>
          <w:lang w:val="en-US" w:eastAsia="en-US" w:bidi="en-US"/>
        </w:rPr>
        <w:t xml:space="preserve"> (1812). For a complete list of logarithmic tables of all kinds from 1614 to 1862, see De Haan, “lets over Logarithmentafels,” in </w:t>
      </w:r>
      <w:r>
        <w:rPr>
          <w:i/>
          <w:iCs/>
          <w:color w:val="000000"/>
          <w:spacing w:val="0"/>
          <w:w w:val="100"/>
          <w:position w:val="0"/>
          <w:shd w:val="clear" w:color="auto" w:fill="auto"/>
          <w:lang w:val="en-US" w:eastAsia="en-US" w:bidi="en-US"/>
        </w:rPr>
        <w:t xml:space="preserve">Verslagen </w:t>
      </w:r>
      <w:r>
        <w:rPr>
          <w:i/>
          <w:iCs/>
          <w:color w:val="000000"/>
          <w:spacing w:val="0"/>
          <w:w w:val="100"/>
          <w:position w:val="0"/>
          <w:shd w:val="clear" w:color="auto" w:fill="auto"/>
          <w:lang w:val="de-DE" w:eastAsia="de-DE" w:bidi="de-DE"/>
        </w:rPr>
        <w:t xml:space="preserve">en </w:t>
      </w:r>
      <w:r>
        <w:rPr>
          <w:i/>
          <w:iCs/>
          <w:color w:val="000000"/>
          <w:spacing w:val="0"/>
          <w:w w:val="100"/>
          <w:position w:val="0"/>
          <w:shd w:val="clear" w:color="auto" w:fill="auto"/>
          <w:lang w:val="en-US" w:eastAsia="en-US" w:bidi="en-US"/>
        </w:rPr>
        <w:t xml:space="preserve">Mededeelingen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Koning. Akad. van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Wetenschappen</w:t>
      </w:r>
      <w:r>
        <w:rPr>
          <w:color w:val="000000"/>
          <w:spacing w:val="0"/>
          <w:w w:val="100"/>
          <w:position w:val="0"/>
          <w:shd w:val="clear" w:color="auto" w:fill="auto"/>
          <w:lang w:val="en-US" w:eastAsia="en-US" w:bidi="en-US"/>
        </w:rPr>
        <w:t xml:space="preserve"> (Amsterdam, 1862), pt. xiv. De Morgan’s article “Tables,” which appeared first in the </w:t>
      </w:r>
      <w:r>
        <w:rPr>
          <w:i/>
          <w:iCs/>
          <w:color w:val="000000"/>
          <w:spacing w:val="0"/>
          <w:w w:val="100"/>
          <w:position w:val="0"/>
          <w:shd w:val="clear" w:color="auto" w:fill="auto"/>
          <w:lang w:val="en-US" w:eastAsia="en-US" w:bidi="en-US"/>
        </w:rPr>
        <w:t>Penny Cyclopaedia,</w:t>
      </w:r>
      <w:r>
        <w:rPr>
          <w:color w:val="000000"/>
          <w:spacing w:val="0"/>
          <w:w w:val="100"/>
          <w:position w:val="0"/>
          <w:shd w:val="clear" w:color="auto" w:fill="auto"/>
          <w:lang w:val="en-US" w:eastAsia="en-US" w:bidi="en-US"/>
        </w:rPr>
        <w:t xml:space="preserve"> and afterwards with additions in the </w:t>
      </w:r>
      <w:r>
        <w:rPr>
          <w:i/>
          <w:iCs/>
          <w:color w:val="000000"/>
          <w:spacing w:val="0"/>
          <w:w w:val="100"/>
          <w:position w:val="0"/>
          <w:shd w:val="clear" w:color="auto" w:fill="auto"/>
          <w:lang w:val="en-US" w:eastAsia="en-US" w:bidi="en-US"/>
        </w:rPr>
        <w:t>English Cyclopaedia,</w:t>
      </w:r>
      <w:r>
        <w:rPr>
          <w:color w:val="000000"/>
          <w:spacing w:val="0"/>
          <w:w w:val="100"/>
          <w:position w:val="0"/>
          <w:shd w:val="clear" w:color="auto" w:fill="auto"/>
          <w:lang w:val="en-US" w:eastAsia="en-US" w:bidi="en-US"/>
        </w:rPr>
        <w:t xml:space="preserve"> gives not only a good deal of bibliographical informa</w:t>
        <w:softHyphen/>
        <w:t>tion but also an account of tables relating to life assurance and annuities, astronomical tables, commercial tables, &amp;c.</w:t>
        <w:tab/>
        <w:t>(J. W. L. G.)</w:t>
      </w:r>
    </w:p>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TABOO (also written </w:t>
      </w:r>
      <w:r>
        <w:rPr>
          <w:smallCaps/>
          <w:color w:val="000000"/>
          <w:spacing w:val="0"/>
          <w:w w:val="100"/>
          <w:position w:val="0"/>
          <w:shd w:val="clear" w:color="auto" w:fill="auto"/>
          <w:lang w:val="en-US" w:eastAsia="en-US" w:bidi="en-US"/>
        </w:rPr>
        <w:t>Tabu</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Tapu)</w:t>
      </w:r>
      <w:r>
        <w:rPr>
          <w:color w:val="000000"/>
          <w:spacing w:val="0"/>
          <w:w w:val="100"/>
          <w:position w:val="0"/>
          <w:shd w:val="clear" w:color="auto" w:fill="auto"/>
          <w:lang w:val="en-US" w:eastAsia="en-US" w:bidi="en-US"/>
        </w:rPr>
        <w:t xml:space="preserve"> is the name given to a system of religious prohibitions which attained its fullest development in Polynesia (from Hawaii to New Zealand ; see vol. xix. p. 426), but of which under different names traces may be discovered in most parts of the world.</w:t>
      </w:r>
    </w:p>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word “ taboo ” is common to the different dialects of Polynesia, and is perhaps derived from </w:t>
      </w:r>
      <w:r>
        <w:rPr>
          <w:i/>
          <w:iCs/>
          <w:color w:val="000000"/>
          <w:spacing w:val="0"/>
          <w:w w:val="100"/>
          <w:position w:val="0"/>
          <w:shd w:val="clear" w:color="auto" w:fill="auto"/>
          <w:lang w:val="fr-FR" w:eastAsia="fr-FR" w:bidi="fr-FR"/>
        </w:rPr>
        <w:t>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to mark,” and </w:t>
      </w:r>
      <w:r>
        <w:rPr>
          <w:i/>
          <w:iCs/>
          <w:color w:val="000000"/>
          <w:spacing w:val="0"/>
          <w:w w:val="100"/>
          <w:position w:val="0"/>
          <w:shd w:val="clear" w:color="auto" w:fill="auto"/>
          <w:lang w:val="fr-FR" w:eastAsia="fr-FR" w:bidi="fr-FR"/>
        </w:rPr>
        <w:t>pu,</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 adverb of intensity. The compound word “taboo” (tapu) would thus originally mean “marked thoroughly.” Its ordinary sense is “sacred.” It does not, however, imply any moral quality, but only “ a connexion with the gods or a separation from ordinary purposes and exclusive appropriation to persons or things considered sacred ; sometimes it means devoted as by a vow.” Chiefs who trace their lineage to the gods are called </w:t>
      </w:r>
      <w:r>
        <w:rPr>
          <w:i/>
          <w:iCs/>
          <w:color w:val="000000"/>
          <w:spacing w:val="0"/>
          <w:w w:val="100"/>
          <w:position w:val="0"/>
          <w:shd w:val="clear" w:color="auto" w:fill="auto"/>
          <w:lang w:val="en-US" w:eastAsia="en-US" w:bidi="en-US"/>
        </w:rPr>
        <w:t xml:space="preserve">arii tabu, </w:t>
      </w:r>
      <w:r>
        <w:rPr>
          <w:color w:val="000000"/>
          <w:spacing w:val="0"/>
          <w:w w:val="100"/>
          <w:position w:val="0"/>
          <w:shd w:val="clear" w:color="auto" w:fill="auto"/>
          <w:lang w:val="en-US" w:eastAsia="en-US" w:bidi="en-US"/>
        </w:rPr>
        <w:t xml:space="preserve">“ chiefs sacred,” and a temple is called a </w:t>
      </w:r>
      <w:r>
        <w:rPr>
          <w:i/>
          <w:iCs/>
          <w:color w:val="000000"/>
          <w:spacing w:val="0"/>
          <w:w w:val="100"/>
          <w:position w:val="0"/>
          <w:shd w:val="clear" w:color="auto" w:fill="auto"/>
          <w:lang w:val="en-US" w:eastAsia="en-US" w:bidi="en-US"/>
        </w:rPr>
        <w:t>wahi tabu,</w:t>
      </w:r>
      <w:r>
        <w:rPr>
          <w:color w:val="000000"/>
          <w:spacing w:val="0"/>
          <w:w w:val="100"/>
          <w:position w:val="0"/>
          <w:shd w:val="clear" w:color="auto" w:fill="auto"/>
          <w:lang w:val="en-US" w:eastAsia="en-US" w:bidi="en-US"/>
        </w:rPr>
        <w:t xml:space="preserve"> “place sacred.” The converse of taboo is </w:t>
      </w:r>
      <w:r>
        <w:rPr>
          <w:i/>
          <w:iCs/>
          <w:color w:val="000000"/>
          <w:spacing w:val="0"/>
          <w:w w:val="100"/>
          <w:position w:val="0"/>
          <w:shd w:val="clear" w:color="auto" w:fill="auto"/>
          <w:lang w:val="en-US" w:eastAsia="en-US" w:bidi="en-US"/>
        </w:rPr>
        <w:t>noa</w:t>
      </w:r>
      <w:r>
        <w:rPr>
          <w:color w:val="000000"/>
          <w:spacing w:val="0"/>
          <w:w w:val="100"/>
          <w:position w:val="0"/>
          <w:shd w:val="clear" w:color="auto" w:fill="auto"/>
          <w:lang w:val="en-US" w:eastAsia="en-US" w:bidi="en-US"/>
        </w:rPr>
        <w:t xml:space="preserve"> (in Tonga </w:t>
      </w:r>
      <w:r>
        <w:rPr>
          <w:i/>
          <w:iCs/>
          <w:color w:val="000000"/>
          <w:spacing w:val="0"/>
          <w:w w:val="100"/>
          <w:position w:val="0"/>
          <w:shd w:val="clear" w:color="auto" w:fill="auto"/>
          <w:lang w:val="en-US" w:eastAsia="en-US" w:bidi="en-US"/>
        </w:rPr>
        <w:t>gnofo</w:t>
      </w:r>
      <w:r>
        <w:rPr>
          <w:i/>
          <w:iCs/>
          <w:color w:val="000000"/>
          <w:spacing w:val="0"/>
          <w:w w:val="100"/>
          <w:position w:val="0"/>
          <w:shd w:val="clear" w:color="auto" w:fill="auto"/>
          <w:lang w:val="en-US" w:eastAsia="en-US" w:bidi="en-US"/>
        </w:rPr>
        <w:t>ó</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which means “general” or “common.” Thus the rule which forbade women to eat with men, as well as, except on special occasions, to eat any fruits or animals offered in sacrifice to the gods, was called </w:t>
      </w:r>
      <w:r>
        <w:rPr>
          <w:i/>
          <w:iCs/>
          <w:color w:val="000000"/>
          <w:spacing w:val="0"/>
          <w:w w:val="100"/>
          <w:position w:val="0"/>
          <w:shd w:val="clear" w:color="auto" w:fill="auto"/>
          <w:lang w:val="fr-FR" w:eastAsia="fr-FR" w:bidi="fr-FR"/>
        </w:rPr>
        <w:t xml:space="preserve">ai </w:t>
      </w:r>
      <w:r>
        <w:rPr>
          <w:i/>
          <w:iCs/>
          <w:color w:val="000000"/>
          <w:spacing w:val="0"/>
          <w:w w:val="100"/>
          <w:position w:val="0"/>
          <w:shd w:val="clear" w:color="auto" w:fill="auto"/>
          <w:lang w:val="en-US" w:eastAsia="en-US" w:bidi="en-US"/>
        </w:rPr>
        <w:t>tabu,</w:t>
      </w:r>
      <w:r>
        <w:rPr>
          <w:color w:val="000000"/>
          <w:spacing w:val="0"/>
          <w:w w:val="100"/>
          <w:position w:val="0"/>
          <w:shd w:val="clear" w:color="auto" w:fill="auto"/>
          <w:lang w:val="en-US" w:eastAsia="en-US" w:bidi="en-US"/>
        </w:rPr>
        <w:t xml:space="preserve"> “ eating sacred ” ; while the present relaxation of the rule is called </w:t>
      </w:r>
      <w:r>
        <w:rPr>
          <w:i/>
          <w:iCs/>
          <w:color w:val="000000"/>
          <w:spacing w:val="0"/>
          <w:w w:val="100"/>
          <w:position w:val="0"/>
          <w:shd w:val="clear" w:color="auto" w:fill="auto"/>
          <w:lang w:val="fr-FR" w:eastAsia="fr-FR" w:bidi="fr-FR"/>
        </w:rPr>
        <w:t xml:space="preserve">ai </w:t>
      </w:r>
      <w:r>
        <w:rPr>
          <w:i/>
          <w:iCs/>
          <w:color w:val="000000"/>
          <w:spacing w:val="0"/>
          <w:w w:val="100"/>
          <w:position w:val="0"/>
          <w:shd w:val="clear" w:color="auto" w:fill="auto"/>
          <w:lang w:val="en-US" w:eastAsia="en-US" w:bidi="en-US"/>
        </w:rPr>
        <w:t xml:space="preserve">noa, </w:t>
      </w:r>
      <w:r>
        <w:rPr>
          <w:color w:val="000000"/>
          <w:spacing w:val="0"/>
          <w:w w:val="100"/>
          <w:position w:val="0"/>
          <w:shd w:val="clear" w:color="auto" w:fill="auto"/>
          <w:lang w:val="en-US" w:eastAsia="en-US" w:bidi="en-US"/>
        </w:rPr>
        <w:t>eating generally, or having food in common. Although it was employed for civil as well as religious purposes, the taboo was essentially a religious observance. In Hawaii it could be imposed only by priests ; but elsewhere in Polynesia kings and chiefs, and even to a certain extent ordinary individuals, exercised the same power. The strictness with which the taboo was observed depended largely on the influence of the person who imposed it : if he was a great chief it would not be broken ; but a powerful man often set at nought the taboo of an inferior.</w:t>
      </w:r>
    </w:p>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taboo might be general or particular, permanent or temporary. A general taboo applied,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to a whole class of animals ; a particular taboo was confined to one or more individuals of the class. Idols, temples, the persons and names of kings and of members of the royal family, the persons of chiefs and priests, and the property (canoes, houses, clothes, &amp;c.) of all these classes of persons were always taboo or sacred. By a somewhat arbitrary exten</w:t>
        <w:softHyphen/>
        <w:t xml:space="preserve">sion of this principle a chief could render taboo to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in favour of) himself anything which took his fancy by merely calling it by the name of a part of his person. Thus, if he said “ That axe is my backbone,” or “ is my head,” the axe was his ; if he roared out “ That canoe ! my skull shall be the baler to bale it out,” the canoe was his likewise. The names of chiefs and still more of kings were taboo, and could not be uttered. If the name of a king of Tahiti was a common word or even resembled a common word, that word dropped out of use and a new name was sub</w:t>
        <w:softHyphen/>
        <w:t>stituted for it. Thus in course of time most of the common words in the language underwent considerable modifications or were entirely changed.</w:t>
      </w:r>
    </w:p>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Certain foods were permanently taboo to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in favour of or for the use of) gods and men, but were forbidden to women. Thus in Hawaii the flesh of hogs, fowls, turtle, and several kinds of fish, cocoa-nuts, and nearly everything offered in sacrifice were reserved for gods and men, and could not, except in special cases, be consumed by women. In the Marquesas Islands human flesh was tabooed from women. Sometimes certain fruits, animals, and fish were taboo for months together from both men and women. In the Marquesas houses were tabooed against water : nothing was washed in them ; no drop of water might be spilled in them. If an island or a district was tabooed, no canoe or person might approach it while the taboo lasted ; if a path was tabooed, no one might walk on it. Seasons generally kept taboo were the approach of a great religious ceremony, the time of preparation for war, and the sickness of chiefs. The time during which they lasted varied from</w:t>
      </w:r>
    </w:p>
    <w:sectPr>
      <w:footnotePr>
        <w:pos w:val="pageBottom"/>
        <w:numFmt w:val="decimal"/>
        <w:numRestart w:val="continuous"/>
      </w:footnotePr>
      <w:pgSz w:w="12240" w:h="16840"/>
      <w:pgMar w:top="1558" w:left="1401" w:right="1421" w:bottom="14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2">
    <w:name w:val="Body text (6)_"/>
    <w:basedOn w:val="DefaultParagraphFont"/>
    <w:link w:val="Style11"/>
    <w:rPr>
      <w:rFonts w:ascii="Times New Roman" w:eastAsia="Times New Roman" w:hAnsi="Times New Roman" w:cs="Times New Roman"/>
      <w:b w:val="0"/>
      <w:bCs w:val="0"/>
      <w:i w:val="0"/>
      <w:iCs w:val="0"/>
      <w:smallCaps w:val="0"/>
      <w:strike w:val="0"/>
      <w:sz w:val="13"/>
      <w:szCs w:val="13"/>
      <w:u w:val="none"/>
    </w:rPr>
  </w:style>
  <w:style w:type="character" w:customStyle="1" w:styleId="CharStyle15">
    <w:name w:val="Body text_"/>
    <w:basedOn w:val="DefaultParagraphFont"/>
    <w:link w:val="Style14"/>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1">
    <w:name w:val="Body text (6)"/>
    <w:basedOn w:val="Normal"/>
    <w:link w:val="CharStyle12"/>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14">
    <w:name w:val="Body text"/>
    <w:basedOn w:val="Normal"/>
    <w:link w:val="CharStyle15"/>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