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this outlet was visited by Stanley, who found that there was no apparent outflow, and doubt was thrown upon Cameron’s observations, which, however, have been proved to be correct by Hore, who in 1880 found a strong current setting unequivocally out of the lake. Not only so, but he obtained good views of the river, which gradually widens soon after the rapids near the lake are passed. He followed the river to 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50' S. lat., and, from an altitude of 1100 feet above the river, he saw it flowing far away to the westward. The question is therefore settled that Lake Tanganyika belongs to the Congo system, but it is only an occasional tributary to that mighty river, its contribution depending upon the rainfall. The lake is subject to fre</w:t>
        <w:softHyphen/>
        <w:t>quent storms, especially from the S.S.E. and S.W., lasting sometimes for two or three days, and leaving a heavy swell, which proves a great hindrance to navigation. Hore says —“ I have never witnessed such wondrous cloud-scenery and majestic effects of thunder and lightning as on Tan</w:t>
        <w:softHyphen/>
        <w:t>ganyika.”</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shores and water of the lake abound in animal life,—crocodiles, the hippopotamus, otters, and many kinds of fish being found in its waters. Flocks of waterfowl abound in the river mouths : gulls, divers, herons, kingfishers, eagles, fish-hawks, and black ibis are very numerous. The shores are very fertile,—rice, manioc, kaffre corn, two kinds of ground nuts, maize, uleysi, pumpkins, sweet potatoes, sugar-cane, castor-oil tree, tamarind, cotton, tomato, and cucumber growing luxuriantly. The oil palm grows at Ujiji, Urundi, and at the south end of the lake, the borassus near the Malagarasi river, the screw palm in Uguha, and the raphra in several localities. The tzetse fly is found on the shores of the lake from Ujiji round the southern end as far as Ubwari on the west coast. Amongst the useful timber trees may be noticed the gigantic mbule, the mininga, lignum </w:t>
      </w:r>
      <w:r>
        <w:rPr>
          <w:color w:val="000000"/>
          <w:spacing w:val="0"/>
          <w:w w:val="100"/>
          <w:position w:val="0"/>
          <w:shd w:val="clear" w:color="auto" w:fill="auto"/>
          <w:lang w:val="fr-FR" w:eastAsia="fr-FR" w:bidi="fr-FR"/>
        </w:rPr>
        <w:t xml:space="preserve">vitæ, </w:t>
      </w:r>
      <w:r>
        <w:rPr>
          <w:color w:val="000000"/>
          <w:spacing w:val="0"/>
          <w:w w:val="100"/>
          <w:position w:val="0"/>
          <w:shd w:val="clear" w:color="auto" w:fill="auto"/>
          <w:lang w:val="en-US" w:eastAsia="en-US" w:bidi="en-US"/>
        </w:rPr>
        <w:t>and ebony. The people inhabit</w:t>
        <w:softHyphen/>
        <w:t>ing the countries on the borders of the lake form ten distinct tribes, with separate national peculiarities and customs. They live in well-organized villages, in which considerable social order is main</w:t>
        <w:softHyphen/>
        <w:t>tained. They have also learnt, to some extent at any rate, to utilize the products of their country : they work their own iron and copper ; salt is prepared for barter ; palm oil is collected ; and in some places there are large pottery works. Their fishing industry is extensive, and dried fish is exported ; boatbuilding is carried on to a small extent; cotton cloth is manufactured at several places, and at others the famous grass or palm-fibre cloth ; whilst the dairy farms of Uhha export packages of butter. There are sev</w:t>
        <w:softHyphen/>
        <w:t>eral London Missionary Society stations on Lake Tanganyika, also one belonging to the Roman Catholics; and a station of the African International Association is situated at Karema. Ujiji, an Arab town of some importance, stands on the eastern shore of the lake.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TANGIERS, or </w:t>
      </w:r>
      <w:r>
        <w:rPr>
          <w:smallCaps/>
          <w:color w:val="000000"/>
          <w:spacing w:val="0"/>
          <w:w w:val="100"/>
          <w:position w:val="0"/>
          <w:shd w:val="clear" w:color="auto" w:fill="auto"/>
          <w:lang w:val="en-US" w:eastAsia="en-US" w:bidi="en-US"/>
        </w:rPr>
        <w:t xml:space="preserve">Tangier </w:t>
      </w:r>
      <w:r>
        <w:rPr>
          <w:i/>
          <w:iCs/>
          <w:color w:val="000000"/>
          <w:spacing w:val="0"/>
          <w:w w:val="100"/>
          <w:position w:val="0"/>
          <w:shd w:val="clear" w:color="auto" w:fill="auto"/>
          <w:lang w:val="en-US" w:eastAsia="en-US" w:bidi="en-US"/>
        </w:rPr>
        <w:t>(Tanja),</w:t>
      </w:r>
      <w:r>
        <w:rPr>
          <w:color w:val="000000"/>
          <w:spacing w:val="0"/>
          <w:w w:val="100"/>
          <w:position w:val="0"/>
          <w:shd w:val="clear" w:color="auto" w:fill="auto"/>
          <w:lang w:val="en-US" w:eastAsia="en-US" w:bidi="en-US"/>
        </w:rPr>
        <w:t xml:space="preserve"> a seaport of Morocco and capital of a pashalik, on the Strait of Gibraltar, about 14 miles to the east of Cape </w:t>
      </w:r>
      <w:r>
        <w:rPr>
          <w:color w:val="000000"/>
          <w:spacing w:val="0"/>
          <w:w w:val="100"/>
          <w:position w:val="0"/>
          <w:shd w:val="clear" w:color="auto" w:fill="auto"/>
          <w:lang w:val="la-001" w:eastAsia="la-001" w:bidi="la-001"/>
        </w:rPr>
        <w:t xml:space="preserve">Spartel, </w:t>
      </w:r>
      <w:r>
        <w:rPr>
          <w:color w:val="000000"/>
          <w:spacing w:val="0"/>
          <w:w w:val="100"/>
          <w:position w:val="0"/>
          <w:shd w:val="clear" w:color="auto" w:fill="auto"/>
          <w:lang w:val="en-US" w:eastAsia="en-US" w:bidi="en-US"/>
        </w:rPr>
        <w:t>stands on two eminences at the north-west extremity of a spacious bay. The town has a fine appearance from the sea, rising gradually in the form of an amphitheatre, and defended by walls and a castle. The streets, which are unpaved, are very narrow and crooked, and the houses, except those occupied by foreign ambassadors or consuls and a few others, are mean. The main thoroughfare is that which leads from the Bab-al-Marsa (Gate of the Port) to the Bab-al-Sok (Gate of the Market Place) ; the sok presents a lively spectacle, especially on Sundays and Thursdays. The manufactures of Tangiers are of little importance, consisting chiefly of coarse woollen cloth, mats, and pottery ; tanning is also carried on, but the leather, though much esteemed in Europe, is inferior to that made in other parts of Morocco. The harbour is a mere road</w:t>
        <w:softHyphen/>
        <w:t>stead, but it is the best Morocco possesses, and affords good anchorage and shelter to the largest vessels, except during the prevalence of strong winds from the north-west or east. Tangiers has a large trade with Gibraltar. The climate is temperate and healthy, but the inhabitants often suffer much in summer from deficiency of water-supply. Tangiers, which is the residence of all the foreign ministers and consuls to the court of Morocco, has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population esti</w:t>
        <w:softHyphen/>
        <w:t>mated at about 20,000, of whom some 400 are Europeans.</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Roman </w:t>
      </w:r>
      <w:r>
        <w:rPr>
          <w:i/>
          <w:iCs/>
          <w:color w:val="000000"/>
          <w:spacing w:val="0"/>
          <w:w w:val="100"/>
          <w:position w:val="0"/>
          <w:shd w:val="clear" w:color="auto" w:fill="auto"/>
          <w:lang w:val="la-001" w:eastAsia="la-001" w:bidi="la-001"/>
        </w:rPr>
        <w:t>Tingis,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which stood in the immediate vicinity of the site of Tangiers, boasted of great antiquity ; under Augustus it became a free city, and Claudius made it a Roman colony and capital of Tingitana. It was held successively by Vandals, Byzan</w:t>
        <w:softHyphen/>
        <w:t>tines, aud Arabs, and fell into the hands of the Portuguese towards the end of the 15th century. In 1662 it was made part of the dowry of Catherine of Braganza on her marriage with Charles II. of England; the English defended it in 1680, but, on account of its expense, dismantled it in 1684 and abandoned it to the Moors, who fortified it anew. It was bombarded by a Spanish fleet in 1790 and by the French in 1844.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TANHÄUSER,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fr-FR" w:eastAsia="fr-FR" w:bidi="fr-FR"/>
        </w:rPr>
        <w:t>Tannhäuser,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subject of one of the most famous of old German legends, is represented as a knight who after many wanderings comes to the Venusberg. He enters the cave where the Lady Venus holds her court, and abandons himself to a life of sensual pleasure. By and by he is overcome by remorse, and, invoking the aid of the Virgin Mary, he obtains per</w:t>
        <w:softHyphen/>
        <w:t>mission to return for a while to the outer world. He then goes as a pilgrim to Rome, and entreats Pope Urban to secure for him the forgiveness of his sins. The pope, who happens to have a rod in his hand, says it is as im</w:t>
        <w:softHyphen/>
        <w:t xml:space="preserve">possible for him to be pardoned as for the rod to blossom. </w:t>
      </w:r>
      <w:r>
        <w:rPr>
          <w:color w:val="000000"/>
          <w:spacing w:val="0"/>
          <w:w w:val="100"/>
          <w:position w:val="0"/>
          <w:shd w:val="clear" w:color="auto" w:fill="auto"/>
          <w:lang w:val="de-DE" w:eastAsia="de-DE" w:bidi="de-DE"/>
        </w:rPr>
        <w:t xml:space="preserve">Tanhäuser </w:t>
      </w:r>
      <w:r>
        <w:rPr>
          <w:color w:val="000000"/>
          <w:spacing w:val="0"/>
          <w:w w:val="100"/>
          <w:position w:val="0"/>
          <w:shd w:val="clear" w:color="auto" w:fill="auto"/>
          <w:lang w:val="en-US" w:eastAsia="en-US" w:bidi="en-US"/>
        </w:rPr>
        <w:t>therefore departs in despair, and returns to the Lady Venus. In three days the rod begins to put forth green leaves, and the pope sends messengers in all direc</w:t>
        <w:softHyphen/>
        <w:t xml:space="preserve">tions in search of the penitent; but he is never seen again. This legend was at one time known in every part of Germany, and as late as 1830 it survived in a popular song at Entlibuch, a version of which was given by Uhland in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 xml:space="preserve">Alte hoch-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 xml:space="preserve">niederdeutsche Volkslieder. </w:t>
      </w:r>
      <w:r>
        <w:rPr>
          <w:color w:val="000000"/>
          <w:spacing w:val="0"/>
          <w:w w:val="100"/>
          <w:position w:val="0"/>
          <w:shd w:val="clear" w:color="auto" w:fill="auto"/>
          <w:lang w:val="en-US" w:eastAsia="en-US" w:bidi="en-US"/>
        </w:rPr>
        <w:t>It can be traced back to the 14th century, but in its original form seems to have belonged to the period of Teutonic paganism. According to some legends, the Venus</w:t>
        <w:softHyphen/>
        <w:t xml:space="preserve">berg is the Hoselberg or </w:t>
      </w:r>
      <w:r>
        <w:rPr>
          <w:color w:val="000000"/>
          <w:spacing w:val="0"/>
          <w:w w:val="100"/>
          <w:position w:val="0"/>
          <w:shd w:val="clear" w:color="auto" w:fill="auto"/>
          <w:lang w:val="de-DE" w:eastAsia="de-DE" w:bidi="de-DE"/>
        </w:rPr>
        <w:t xml:space="preserve">Hörselberg, </w:t>
      </w:r>
      <w:r>
        <w:rPr>
          <w:color w:val="000000"/>
          <w:spacing w:val="0"/>
          <w:w w:val="100"/>
          <w:position w:val="0"/>
          <w:shd w:val="clear" w:color="auto" w:fill="auto"/>
          <w:lang w:val="en-US" w:eastAsia="en-US" w:bidi="en-US"/>
        </w:rPr>
        <w:t xml:space="preserve">a hill near Eisenach associated with the Teutonic goddess of the nether world, who was known by various names, such as </w:t>
      </w:r>
      <w:r>
        <w:rPr>
          <w:color w:val="000000"/>
          <w:spacing w:val="0"/>
          <w:w w:val="100"/>
          <w:position w:val="0"/>
          <w:shd w:val="clear" w:color="auto" w:fill="auto"/>
          <w:lang w:val="de-DE" w:eastAsia="de-DE" w:bidi="de-DE"/>
        </w:rPr>
        <w:t xml:space="preserve">Hulda, </w:t>
      </w:r>
      <w:r>
        <w:rPr>
          <w:color w:val="000000"/>
          <w:spacing w:val="0"/>
          <w:w w:val="100"/>
          <w:position w:val="0"/>
          <w:shd w:val="clear" w:color="auto" w:fill="auto"/>
          <w:lang w:val="en-US" w:eastAsia="en-US" w:bidi="en-US"/>
        </w:rPr>
        <w:t xml:space="preserve">Hilda, and Hel. To this goddess the name of Venus appears to have been transferred. Among the attendants of </w:t>
      </w:r>
      <w:r>
        <w:rPr>
          <w:color w:val="000000"/>
          <w:spacing w:val="0"/>
          <w:w w:val="100"/>
          <w:position w:val="0"/>
          <w:shd w:val="clear" w:color="auto" w:fill="auto"/>
          <w:lang w:val="de-DE" w:eastAsia="de-DE" w:bidi="de-DE"/>
        </w:rPr>
        <w:t xml:space="preserve">Hulda </w:t>
      </w:r>
      <w:r>
        <w:rPr>
          <w:color w:val="000000"/>
          <w:spacing w:val="0"/>
          <w:w w:val="100"/>
          <w:position w:val="0"/>
          <w:shd w:val="clear" w:color="auto" w:fill="auto"/>
          <w:lang w:val="en-US" w:eastAsia="en-US" w:bidi="en-US"/>
        </w:rPr>
        <w:t xml:space="preserve">was the faithful Eckhart, and in the preface to the </w:t>
      </w:r>
      <w:r>
        <w:rPr>
          <w:i/>
          <w:iCs/>
          <w:color w:val="000000"/>
          <w:spacing w:val="0"/>
          <w:w w:val="100"/>
          <w:position w:val="0"/>
          <w:shd w:val="clear" w:color="auto" w:fill="auto"/>
          <w:lang w:val="de-DE" w:eastAsia="de-DE" w:bidi="de-DE"/>
        </w:rPr>
        <w:t>Heldenbuch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he is said to sit before the Venusberg, and to warn passers-by of the dangers to which they may be exposed if they linger in the neighbourhood. The legend has been reproduced by several modern German poets, and forms the subject of one of Wagner’s operas.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13th century, contemporary with Pope Urban IV., there was a German knight called </w:t>
      </w:r>
      <w:r>
        <w:rPr>
          <w:color w:val="000000"/>
          <w:spacing w:val="0"/>
          <w:w w:val="100"/>
          <w:position w:val="0"/>
          <w:shd w:val="clear" w:color="auto" w:fill="auto"/>
          <w:lang w:val="de-DE" w:eastAsia="de-DE" w:bidi="de-DE"/>
        </w:rPr>
        <w:t xml:space="preserve">Tanhäuser, </w:t>
      </w:r>
      <w:r>
        <w:rPr>
          <w:color w:val="000000"/>
          <w:spacing w:val="0"/>
          <w:w w:val="100"/>
          <w:position w:val="0"/>
          <w:shd w:val="clear" w:color="auto" w:fill="auto"/>
          <w:lang w:val="en-US" w:eastAsia="en-US" w:bidi="en-US"/>
        </w:rPr>
        <w:t xml:space="preserve">who was well known as a minnesinger at the court of Frederick II., duke of Austria. After Duke Frederick’s death </w:t>
      </w:r>
      <w:r>
        <w:rPr>
          <w:color w:val="000000"/>
          <w:spacing w:val="0"/>
          <w:w w:val="100"/>
          <w:position w:val="0"/>
          <w:shd w:val="clear" w:color="auto" w:fill="auto"/>
          <w:lang w:val="de-DE" w:eastAsia="de-DE" w:bidi="de-DE"/>
        </w:rPr>
        <w:t xml:space="preserve">Tanhäuser </w:t>
      </w:r>
      <w:r>
        <w:rPr>
          <w:color w:val="000000"/>
          <w:spacing w:val="0"/>
          <w:w w:val="100"/>
          <w:position w:val="0"/>
          <w:shd w:val="clear" w:color="auto" w:fill="auto"/>
          <w:lang w:val="en-US" w:eastAsia="en-US" w:bidi="en-US"/>
        </w:rPr>
        <w:t xml:space="preserve">was received at the court of Otho IL, duke of Bavaria ; but, being of a restless disposition, and having wasted his fortune, he spent much time in wandering about Germany. He also went as a crusader to the Holy Land. His poems (printed in the second part of the </w:t>
      </w:r>
      <w:r>
        <w:rPr>
          <w:i/>
          <w:iCs/>
          <w:color w:val="000000"/>
          <w:spacing w:val="0"/>
          <w:w w:val="100"/>
          <w:position w:val="0"/>
          <w:shd w:val="clear" w:color="auto" w:fill="auto"/>
          <w:lang w:val="en-US" w:eastAsia="en-US" w:bidi="en-US"/>
        </w:rPr>
        <w:t>Minnesinger,</w:t>
      </w:r>
      <w:r>
        <w:rPr>
          <w:color w:val="000000"/>
          <w:spacing w:val="0"/>
          <w:w w:val="100"/>
          <w:position w:val="0"/>
          <w:shd w:val="clear" w:color="auto" w:fill="auto"/>
          <w:lang w:val="en-US" w:eastAsia="en-US" w:bidi="en-US"/>
        </w:rPr>
        <w:t xml:space="preserve"> edited by </w:t>
      </w:r>
      <w:r>
        <w:rPr>
          <w:color w:val="000000"/>
          <w:spacing w:val="0"/>
          <w:w w:val="100"/>
          <w:position w:val="0"/>
          <w:shd w:val="clear" w:color="auto" w:fill="auto"/>
          <w:lang w:val="de-DE" w:eastAsia="de-DE" w:bidi="de-DE"/>
        </w:rPr>
        <w:t xml:space="preserve">Von der </w:t>
      </w:r>
      <w:r>
        <w:rPr>
          <w:color w:val="000000"/>
          <w:spacing w:val="0"/>
          <w:w w:val="100"/>
          <w:position w:val="0"/>
          <w:shd w:val="clear" w:color="auto" w:fill="auto"/>
          <w:lang w:val="en-US" w:eastAsia="en-US" w:bidi="en-US"/>
        </w:rPr>
        <w:t xml:space="preserve">Hagen) are fresh, lively, and graceful, but lack the ideal tone which marks the writings of the earlier minnesinger. He was much </w:t>
      </w:r>
      <w:r>
        <w:rPr>
          <w:color w:val="000000"/>
          <w:spacing w:val="0"/>
          <w:w w:val="100"/>
          <w:position w:val="0"/>
          <w:shd w:val="clear" w:color="auto" w:fill="auto"/>
          <w:lang w:val="fr-FR" w:eastAsia="fr-FR" w:bidi="fr-FR"/>
        </w:rPr>
        <w:t xml:space="preserve">esteemed </w:t>
      </w:r>
      <w:r>
        <w:rPr>
          <w:color w:val="000000"/>
          <w:spacing w:val="0"/>
          <w:w w:val="100"/>
          <w:position w:val="0"/>
          <w:shd w:val="clear" w:color="auto" w:fill="auto"/>
          <w:lang w:val="en-US" w:eastAsia="en-US" w:bidi="en-US"/>
        </w:rPr>
        <w:t>by the meistersinger, and it is possible that the story of his adventurous life may have been connected with the old legend about the Venusberg.</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Kornmann, </w:t>
      </w:r>
      <w:r>
        <w:rPr>
          <w:i/>
          <w:iCs/>
          <w:color w:val="000000"/>
          <w:spacing w:val="0"/>
          <w:w w:val="100"/>
          <w:position w:val="0"/>
          <w:shd w:val="clear" w:color="auto" w:fill="auto"/>
          <w:lang w:val="en-US" w:eastAsia="en-US" w:bidi="en-US"/>
        </w:rPr>
        <w:t xml:space="preserve">Mons </w:t>
      </w:r>
      <w:r>
        <w:rPr>
          <w:i/>
          <w:iCs/>
          <w:color w:val="000000"/>
          <w:spacing w:val="0"/>
          <w:w w:val="100"/>
          <w:position w:val="0"/>
          <w:shd w:val="clear" w:color="auto" w:fill="auto"/>
          <w:lang w:val="la-001" w:eastAsia="la-001" w:bidi="la-001"/>
        </w:rPr>
        <w:t>Teneris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(1614), and </w:t>
      </w:r>
      <w:r>
        <w:rPr>
          <w:color w:val="000000"/>
          <w:spacing w:val="0"/>
          <w:w w:val="100"/>
          <w:position w:val="0"/>
          <w:shd w:val="clear" w:color="auto" w:fill="auto"/>
          <w:lang w:val="de-DE" w:eastAsia="de-DE" w:bidi="de-DE"/>
        </w:rPr>
        <w:t xml:space="preserve">Grässe,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Sage vorn, </w:t>
      </w:r>
      <w:r>
        <w:rPr>
          <w:i/>
          <w:iCs/>
          <w:color w:val="000000"/>
          <w:spacing w:val="0"/>
          <w:w w:val="100"/>
          <w:position w:val="0"/>
          <w:shd w:val="clear" w:color="auto" w:fill="auto"/>
          <w:lang w:val="en-US" w:eastAsia="en-US" w:bidi="en-US"/>
        </w:rPr>
        <w:t xml:space="preserve">Ritter </w:t>
      </w:r>
      <w:r>
        <w:rPr>
          <w:i/>
          <w:iCs/>
          <w:color w:val="000000"/>
          <w:spacing w:val="0"/>
          <w:w w:val="100"/>
          <w:position w:val="0"/>
          <w:shd w:val="clear" w:color="auto" w:fill="auto"/>
          <w:lang w:val="de-DE" w:eastAsia="de-DE" w:bidi="de-DE"/>
        </w:rPr>
        <w:t>Tanhäuser,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 xml:space="preserve">Der Tanhäuser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 xml:space="preserve">Ewige </w:t>
      </w:r>
      <w:r>
        <w:rPr>
          <w:i/>
          <w:iCs/>
          <w:color w:val="000000"/>
          <w:spacing w:val="0"/>
          <w:w w:val="100"/>
          <w:position w:val="0"/>
          <w:shd w:val="clear" w:color="auto" w:fill="auto"/>
          <w:lang w:val="en-US" w:eastAsia="en-US" w:bidi="en-US"/>
        </w:rPr>
        <w:t>Jude;</w:t>
      </w:r>
      <w:r>
        <w:rPr>
          <w:color w:val="000000"/>
          <w:spacing w:val="0"/>
          <w:w w:val="100"/>
          <w:position w:val="0"/>
          <w:shd w:val="clear" w:color="auto" w:fill="auto"/>
          <w:lang w:val="en-US" w:eastAsia="en-US" w:bidi="en-US"/>
        </w:rPr>
        <w:t xml:space="preserve"> also Zander,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Tanhäuser Sage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der Minnesänger Tanhäuser.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TANJORE, a district of British India, in the Madras presidency, lying between 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50' and 11° 25' N. lat. and between 78° 55' and 79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55' E. long., with an area of 3654 square miles. It forms a portion of the Southern Carnatic, and is bounded on the N. by the river Coleroon, which separates it from Trichinopoly and South Arcot districts, on the E. and S.E. by the Bay of Bengal, on the S.W. by Madura district, and on the W. by Madura and Trichinopoly and Pudukotta state. Tanjore</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