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Carmarthen </w:t>
      </w:r>
      <w:r>
        <w:rPr>
          <w:color w:val="000000"/>
          <w:spacing w:val="0"/>
          <w:w w:val="100"/>
          <w:position w:val="0"/>
          <w:shd w:val="clear" w:color="auto" w:fill="auto"/>
          <w:lang w:val="en-US" w:eastAsia="en-US" w:bidi="en-US"/>
        </w:rPr>
        <w:t>Bay, and on a branch of the South Wales Railway, 10 miles east of Pembroke and 274 west of London (by rail). Its chief attractions as a watering-place are its picturesque appearance, its antiquarian remains, its equable and salubrious climate, and its wide stretch of firm sands. There are considerable remains of the old fortifica</w:t>
        <w:softHyphen/>
        <w:t>tions of the town, dating originally from the Norman Con</w:t>
        <w:softHyphen/>
        <w:t>quest, and repaired by Elizabeth, whose initials with the date 1588 are inscribed on a stone near the fine south-west gate, which with the south-west and north-west walls is in very good preservation. The remains of the castle on a lofty rock at the extremity of the promontory include the keep, a circular bastion overhanging the cliffs, and portions of the outer wall. Within the grounds, which are laid out in walks, there is a local museum ; and on the summit of the hill is the Welsh memorial to the Prince Consort, a statue of Sicilian marble (1865). Opposite the castle, about 100 yards distant and accessible on foot at low water, is St Catherine’s Island, on which is a strong fort begun in 1868, forming one of the land defences of Pem</w:t>
        <w:softHyphen/>
        <w:t xml:space="preserve">broke dockyard. The parish church of St Mary is a large and beautiful building, showing every variety of style from the Norman of the 12th to the Tudor of the late 16th century ; it has a massive tower with a spire rising to a height of 152 feet. In the north aisle are some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altar tombs and in the south aisle one of the early Tudor period. The fisheries of Tenby, for which the place was noted at a very early period, are still of importance. The trade of the port is inconsiderable. Steamers, however, ply to Bristol, Cardiff, Ilfracombe, and Weston-super- Mare. In the neighbourhood there are extensive limestone quarries. The population of the municipal and parlia</w:t>
        <w:softHyphen/>
        <w:t>mentary borough (area 640 acres) in 1871 was 3810, and in 1881 it was 4750. In summer it is augmented by more than a half.</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Tenby has the same derivation as Denbigh in North Wales. Anciently it was called Dynbych-y-Pyscod, the “ precipice of fishes.” The importance of the town dates from the settlement of the Flemings in the reign of Henry I. In 1150 Cadell, eldest son of Rhys </w:t>
      </w:r>
      <w:r>
        <w:rPr>
          <w:color w:val="000000"/>
          <w:spacing w:val="0"/>
          <w:w w:val="100"/>
          <w:position w:val="0"/>
          <w:shd w:val="clear" w:color="auto" w:fill="auto"/>
          <w:lang w:val="de-DE" w:eastAsia="de-DE" w:bidi="de-DE"/>
        </w:rPr>
        <w:t xml:space="preserve">ab </w:t>
      </w:r>
      <w:r>
        <w:rPr>
          <w:color w:val="000000"/>
          <w:spacing w:val="0"/>
          <w:w w:val="100"/>
          <w:position w:val="0"/>
          <w:shd w:val="clear" w:color="auto" w:fill="auto"/>
          <w:lang w:val="en-US" w:eastAsia="en-US" w:bidi="en-US"/>
        </w:rPr>
        <w:t>Gryffith, was slain by the people of Tenby, in revenge for which the castle was taken and the town devastated by his two brothers Meredith and Rhys. During the Wars of the Roses the fortifications were restored and strengthened by Jaspar, earl of Pembroke. They were again greatly strengthened by Elizabeth in apprehension of the landing of the Spaniards. At the beginning of the Civil War the town and castle were garrisoned for the king, but in 1644 it surrendered to the Parliamentarians after a siege of three days. Its privileges were extended by Humphrey, duke of Gloucester, who made the mayor an independent justice, and by Henry IV., Henry VI., Elizabeth, and Charles I. It is now governed by the Municipal Act, and the corporation are the sani</w:t>
        <w:softHyphen/>
        <w:t>tary authority. Since the 27th of Henry VIII. it has formed part of the Pembroke district of boroughs for parliamentary repre</w:t>
        <w:softHyphen/>
        <w:t>sentation.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TENCH, the </w:t>
      </w:r>
      <w:r>
        <w:rPr>
          <w:i/>
          <w:iCs/>
          <w:color w:val="000000"/>
          <w:spacing w:val="0"/>
          <w:w w:val="100"/>
          <w:position w:val="0"/>
          <w:shd w:val="clear" w:color="auto" w:fill="auto"/>
          <w:lang w:val="en-US" w:eastAsia="en-US" w:bidi="en-US"/>
        </w:rPr>
        <w:t>Tinca tinca</w:t>
      </w:r>
      <w:r>
        <w:rPr>
          <w:color w:val="000000"/>
          <w:spacing w:val="0"/>
          <w:w w:val="100"/>
          <w:position w:val="0"/>
          <w:shd w:val="clear" w:color="auto" w:fill="auto"/>
          <w:lang w:val="en-US" w:eastAsia="en-US" w:bidi="en-US"/>
        </w:rPr>
        <w:t xml:space="preserve"> of naturalists, is one of the commonest and most widely spread freshwater fishes of Europe. It is generally distributed in all suitable local</w:t>
        <w:softHyphen/>
        <w:t>ities throughout England, but is limited to a few lakes and ponds in the south of Scotland and in Ireland. As the tench is of comparatively uncommon occurrence in unen</w:t>
        <w:softHyphen/>
        <w:t xml:space="preserve">closed waters, its place among the indigenous fishes of Great Britain has been denied, and it has been supposed to have been introduced from the Continent. In central Europe, however, where it is undoubtedly indigenous, it thrives best in enclosed, preserved waters, with a clayey or muddy bottom and with an abundant vegetation ; it avoids clear waters with stony ground, and is altogether absent from rapid streams. The tench belongs to the family of carps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Cyprinidæ</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is distinguished from the other members of that family by its very small scales, which are deeply embedded in a thick skin, whose surface is as slippery as that of an eel. All the fins have a rounded outline ; the short dorsal fin is without a spine, but the </w:t>
      </w:r>
      <w:r>
        <w:rPr>
          <w:color w:val="000000"/>
          <w:spacing w:val="0"/>
          <w:w w:val="100"/>
          <w:position w:val="0"/>
          <w:shd w:val="clear" w:color="auto" w:fill="auto"/>
          <w:lang w:val="en-US" w:eastAsia="en-US" w:bidi="en-US"/>
        </w:rPr>
        <w:t>males possess a very thick and flattened outer ray in the ventral fins. The mouth is rather narrow and provided at each corner with a very small barbel. Tench if kept in suitable waters are extremely prolific, and as they grow within a few years to a weight of 3 or 4 lb, and are then fit for the table, they may be profitably introduced into ponds which are already stocked with other fishes, such as carp and pike. They live on small animals or soft vegetable substances, which they root up from the ground. The albino variety especially, which is known as the “golden tench,” can be recommended for ornamental waters, as its bright orange colours render it visible for some distance below the surface of the water. This variety, which seems to have been originally bred in Silesia, is not less well- flavoured than the normally coloured tench, and grows to the same size, viz., to 6 and even 8 lb.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TENDER. See </w:t>
      </w:r>
      <w:r>
        <w:rPr>
          <w:smallCaps/>
          <w:color w:val="000000"/>
          <w:spacing w:val="0"/>
          <w:w w:val="100"/>
          <w:position w:val="0"/>
          <w:shd w:val="clear" w:color="auto" w:fill="auto"/>
          <w:lang w:val="en-US" w:eastAsia="en-US" w:bidi="en-US"/>
        </w:rPr>
        <w:t>Payment.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TENERIFFE. See </w:t>
      </w:r>
      <w:r>
        <w:rPr>
          <w:smallCaps/>
          <w:color w:val="000000"/>
          <w:spacing w:val="0"/>
          <w:w w:val="100"/>
          <w:position w:val="0"/>
          <w:shd w:val="clear" w:color="auto" w:fill="auto"/>
          <w:lang w:val="en-US" w:eastAsia="en-US" w:bidi="en-US"/>
        </w:rPr>
        <w:t>Canary Islands,</w:t>
      </w:r>
      <w:r>
        <w:rPr>
          <w:color w:val="000000"/>
          <w:spacing w:val="0"/>
          <w:w w:val="100"/>
          <w:position w:val="0"/>
          <w:shd w:val="clear" w:color="auto" w:fill="auto"/>
          <w:lang w:val="en-US" w:eastAsia="en-US" w:bidi="en-US"/>
        </w:rPr>
        <w:t xml:space="preserve"> vol. iv. p. 798.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TENIERS, </w:t>
      </w:r>
      <w:r>
        <w:rPr>
          <w:smallCaps/>
          <w:color w:val="000000"/>
          <w:spacing w:val="0"/>
          <w:w w:val="100"/>
          <w:position w:val="0"/>
          <w:shd w:val="clear" w:color="auto" w:fill="auto"/>
          <w:lang w:val="en-US" w:eastAsia="en-US" w:bidi="en-US"/>
        </w:rPr>
        <w:t>David</w:t>
      </w:r>
      <w:r>
        <w:rPr>
          <w:color w:val="000000"/>
          <w:spacing w:val="0"/>
          <w:w w:val="100"/>
          <w:position w:val="0"/>
          <w:shd w:val="clear" w:color="auto" w:fill="auto"/>
          <w:lang w:val="en-US" w:eastAsia="en-US" w:bidi="en-US"/>
        </w:rPr>
        <w:t xml:space="preserve"> (1610-1690), the younger, a Flemish painter, almost ranking in celebrity with Rubens and Van Dyck, was born in Antwerp on 15th December 1610. His father, David Teniers the elder (1582-1649), whose style he followed with a vastly superior power of concep</w:t>
        <w:softHyphen/>
        <w:t>tion, had been a pupil of Elsheimer in Rome and of Rubens in Antwerp. Besides these influences, we can also dis</w:t>
        <w:softHyphen/>
        <w:t>tinctly trace that of Adrian Brouwer at the outset of his career. Although the young painter’s general system often reminds us of Rubens, several of his works also betray a vivid recollection of Brouwer in type as well as general arrangement. There is no evidence, however, that either Rubens or Brouwer interfered in any way with Teniers’s education, and Smith may be correct in supposing that the admiration which Brouwer’s pictures at one time ex</w:t>
        <w:softHyphen/>
        <w:t>cited alone tempted the younger artist to imitate them. The only trace of personal relations having existed between Teniers and Rubens is the fact that the ward of the latter, Anne Breughel, the daughter of John (Velvet) Breughel, married Teniers in 1637. Admitted as a “master” in the guild of St Luke in 1632, Teniers had even before this made the public acquainted with his works. The Berlin museum possesses a group of ladies and gentlemen dated 1630. No special signature positively distinguishes these first productions from those of his father, and we do not think it correct to admit with some writers that he first painted religious subjects. Dr Bode, in a most remarkable study of Brouwer and his works, expresses the opinion that Teniers’s earliest pictures are those found under the signa</w:t>
        <w:softHyphen/>
        <w:t xml:space="preserve">ture “Tenier” (with the omission of the final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Tenier is in reality a Flemish version of a thoroughly Walloon name, “Taisnier,” which the painter’s grandfather, a mercer, brought with him when he came from Ath in 1558, and Bode’s supposition is greatly strengthened by the circum</w:t>
        <w:softHyphen/>
        <w:t>stance that not only David the elder but his brother Abraham and his four sons were all inscribed as “Tenier ” in the ledgers of the Antwerp guild of St Luke. Some really first-rate works—the Prodigal Son and a group of Topers in the Munich gallery, as well as a party of gentle</w:t>
        <w:softHyphen/>
        <w:t>men and ladies at dinner, termed the Five Senses, in the</w:t>
      </w:r>
    </w:p>
    <w:sectPr>
      <w:footnotePr>
        <w:pos w:val="pageBottom"/>
        <w:numFmt w:val="decimal"/>
        <w:numRestart w:val="continuous"/>
      </w:footnotePr>
      <w:pgSz w:w="12240" w:h="16840"/>
      <w:pgMar w:top="1702" w:left="1415" w:right="1403"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