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(Diog. Laert., i. 115). He was also severely blamed in antiquity for his censoriousness, and throughout his fragments no feature is more striking than this (Fr. 54, 65, &amp;c.). On the whole, however, he appears to have been fairly impartial. Philip himself he censures severely for drunkenness and immorality (Fr. 136, 178, 262, 298), while Demosthenes receives his warm praise (Fr. 239, 263). There can be no doubt that in the </w:t>
      </w:r>
      <w:r>
        <w:rPr>
          <w:color w:val="000000"/>
          <w:spacing w:val="0"/>
          <w:w w:val="100"/>
          <w:position w:val="0"/>
          <w:shd w:val="clear" w:color="auto" w:fill="auto"/>
          <w:lang w:val="la-001" w:eastAsia="la-001" w:bidi="la-001"/>
        </w:rPr>
        <w:t>Philippica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the world has lost a great variety of pleasant tales and historians much valuable information upon many difficult points of Greek history and life.</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See Miiller, </w:t>
      </w:r>
      <w:r>
        <w:rPr>
          <w:i/>
          <w:iCs/>
          <w:color w:val="000000"/>
          <w:spacing w:val="0"/>
          <w:w w:val="100"/>
          <w:position w:val="0"/>
          <w:shd w:val="clear" w:color="auto" w:fill="auto"/>
        </w:rPr>
        <w:t xml:space="preserve">Fragmenta Historicorum </w:t>
      </w:r>
      <w:r>
        <w:rPr>
          <w:i/>
          <w:iCs/>
          <w:color w:val="000000"/>
          <w:spacing w:val="0"/>
          <w:w w:val="100"/>
          <w:position w:val="0"/>
          <w:shd w:val="clear" w:color="auto" w:fill="auto"/>
          <w:lang w:val="fr-FR" w:eastAsia="fr-FR" w:bidi="fr-FR"/>
        </w:rPr>
        <w:t>Græcorum,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rPr>
        <w:t xml:space="preserve">i. </w:t>
      </w:r>
      <w:r>
        <w:rPr>
          <w:color w:val="000000"/>
          <w:spacing w:val="0"/>
          <w:w w:val="100"/>
          <w:position w:val="0"/>
          <w:shd w:val="clear" w:color="auto" w:fill="auto"/>
          <w:lang w:val="en-US" w:eastAsia="en-US" w:bidi="en-US"/>
        </w:rPr>
        <w:t xml:space="preserve">278-333, </w:t>
      </w:r>
      <w:r>
        <w:rPr>
          <w:color w:val="000000"/>
          <w:spacing w:val="0"/>
          <w:w w:val="100"/>
          <w:position w:val="0"/>
          <w:shd w:val="clear" w:color="auto" w:fill="auto"/>
        </w:rPr>
        <w:t xml:space="preserve">Paris, </w:t>
      </w:r>
      <w:r>
        <w:rPr>
          <w:color w:val="000000"/>
          <w:spacing w:val="0"/>
          <w:w w:val="100"/>
          <w:position w:val="0"/>
          <w:shd w:val="clear" w:color="auto" w:fill="auto"/>
          <w:lang w:val="en-US" w:eastAsia="en-US" w:bidi="en-US"/>
        </w:rPr>
        <w:t>1885.</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THEORBO. See </w:t>
      </w:r>
      <w:r>
        <w:rPr>
          <w:smallCaps/>
          <w:color w:val="000000"/>
          <w:spacing w:val="0"/>
          <w:w w:val="100"/>
          <w:position w:val="0"/>
          <w:shd w:val="clear" w:color="auto" w:fill="auto"/>
          <w:lang w:val="en-US" w:eastAsia="en-US" w:bidi="en-US"/>
        </w:rPr>
        <w:t>Lute,</w:t>
      </w:r>
      <w:r>
        <w:rPr>
          <w:color w:val="000000"/>
          <w:spacing w:val="0"/>
          <w:w w:val="100"/>
          <w:position w:val="0"/>
          <w:shd w:val="clear" w:color="auto" w:fill="auto"/>
          <w:lang w:val="en-US" w:eastAsia="en-US" w:bidi="en-US"/>
        </w:rPr>
        <w:t xml:space="preserve"> vol. xv. p. 71.</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THEOSOPHY, as its derivation implies, is a term used to denote those forms of philosophic and religious thought which claim a special insight into the Divine nature and its constitutive moments or processes. Sometimes this insight is claimed as the result of the operation of some higher faculty or some supernatural revelation to the indi</w:t>
        <w:softHyphen/>
        <w:t>vidual ; in other instances the theosophical theory is not based upon any special illumination, but is simply put forward as the deepest speculative wisdom of its author. But in any case it is characteristic of theosophy that it starts with an explication of the Divine essence, and endeavours to deduce the phenomenal universe from the play of forces within the Divine nature itself. It is thus differentiated at once from all philosophic systems which attempt to rise from an analysis of phenomena to a know</w:t>
        <w:softHyphen/>
        <w:t xml:space="preserve">ledge, more or less adequate, of the existence and nature of God. In all such systems, God is the </w:t>
      </w:r>
      <w:r>
        <w:rPr>
          <w:i/>
          <w:iCs/>
          <w:color w:val="000000"/>
          <w:spacing w:val="0"/>
          <w:w w:val="100"/>
          <w:position w:val="0"/>
          <w:shd w:val="clear" w:color="auto" w:fill="auto"/>
          <w:lang w:val="en-US" w:eastAsia="en-US" w:bidi="en-US"/>
        </w:rPr>
        <w:t>terminus ad quem,</w:t>
      </w:r>
      <w:r>
        <w:rPr>
          <w:color w:val="000000"/>
          <w:spacing w:val="0"/>
          <w:w w:val="100"/>
          <w:position w:val="0"/>
          <w:shd w:val="clear" w:color="auto" w:fill="auto"/>
          <w:lang w:val="en-US" w:eastAsia="en-US" w:bidi="en-US"/>
        </w:rPr>
        <w:t xml:space="preserve"> a direct knowledge of whom is not claimed, but who is, as it were, the hypothesis adopted, with varying degrees of certainty in different thinkers, for the explanation of the facts before them. The theosophist, on the other hand, is most at his ease when moving within the circle of the Divine essence, into which he seems to claim absolute insight. This, however, would be insufficient to distin</w:t>
        <w:softHyphen/>
        <w:t>guish theosophy from those systems of philosophy which are sometimes called “ speculative ” and “ absolute,” and which also in many cases proceed deductively from the idea of God. In a wide sense, the system of Hegel or the system of Spinoza may be cited as examples of what is meant. Both thinkers claim to exhibit the universe as the evolution of the Divine nature. They must believe, there</w:t>
        <w:softHyphen/>
        <w:t>fore, that they have grasped the inmost principles of that nature : so much is involved, indeed, in the construction of an absolute system. But it is to be noted that, though there is much talk of God in such systems, the known universe—the world that now is—is nowhere transcended ; God is really no more than the principle of unity immanent in the whole. Hence, while the accusation of pantheism is frequently brought against these thinkers, the term theosophical is never used in their regard. A theosoph</w:t>
        <w:softHyphen/>
        <w:t>ical system may also be pantheistic, in tendency if not in intention ; but the transcendent character of its Godhead definitely distinguishes it from the speculative philosophies which might otherwise seem to fall under the same defini</w:t>
        <w:softHyphen/>
        <w:t>tion. An historical survey shows, indeed, that theosophy generally arises in connexion with religious needs, and is the expression of religious convictions or aspirations. Now the specifically religious consciousness is not panthe</w:t>
        <w:softHyphen/>
        <w:t>istic in any naturalistic sense ; God is rather regarded as the transcendent source of being and purity, from which the individual in his natural state is alienated and afar off. Theosophy accepts the testimony of religion that the present world lies in wickedness and imperfection, and faces the problem of speculatively accounting for this state of things from the nature of the Godhead itself. Theo</w:t>
        <w:softHyphen/>
        <w:t>sophy is thus in some sort a mystical philosophy of the existence of evil ; or at least it assumes this form in some of its most typical representatives.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name with which it is oftenest coupled is mysticism (see </w:t>
      </w:r>
      <w:r>
        <w:rPr>
          <w:smallCaps/>
          <w:color w:val="000000"/>
          <w:spacing w:val="0"/>
          <w:w w:val="100"/>
          <w:position w:val="0"/>
          <w:shd w:val="clear" w:color="auto" w:fill="auto"/>
          <w:lang w:val="en-US" w:eastAsia="en-US" w:bidi="en-US"/>
        </w:rPr>
        <w:t>Mysticism).</w:t>
      </w:r>
      <w:r>
        <w:rPr>
          <w:color w:val="000000"/>
          <w:spacing w:val="0"/>
          <w:w w:val="100"/>
          <w:position w:val="0"/>
          <w:shd w:val="clear" w:color="auto" w:fill="auto"/>
          <w:lang w:val="en-US" w:eastAsia="en-US" w:bidi="en-US"/>
        </w:rPr>
        <w:t xml:space="preserve"> The latter term has properly a practical rather than a speculative reference; but it is currently </w:t>
      </w:r>
      <w:r>
        <w:rPr>
          <w:color w:val="000000"/>
          <w:spacing w:val="0"/>
          <w:w w:val="100"/>
          <w:position w:val="0"/>
          <w:shd w:val="clear" w:color="auto" w:fill="auto"/>
          <w:lang w:val="en-US" w:eastAsia="en-US" w:bidi="en-US"/>
        </w:rPr>
        <w:t xml:space="preserve">applied so as to include the systems of thought on which practical mysticism was based. Thus, to take only one prominent example, the profound speculations of Meister </w:t>
      </w:r>
      <w:r>
        <w:rPr>
          <w:smallCaps/>
          <w:color w:val="000000"/>
          <w:spacing w:val="0"/>
          <w:w w:val="100"/>
          <w:position w:val="0"/>
          <w:shd w:val="clear" w:color="auto" w:fill="auto"/>
          <w:lang w:val="en-US" w:eastAsia="en-US" w:bidi="en-US"/>
        </w:rPr>
        <w:t>Eckhart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are always treated under the head of Mysticism, but they might with equal right appear under the rubric Theosophy. In other words, while an emotional and practical mysticism may exist without attempting philosophically to explain itself, speculative mysticism is almost another name for theosophy. There is still a certain difference observable, however, in so far as the speculative mystic remains primarily concerned with the theory of the soul’s relation to God, while the theosophist gives his thoughts a wider scope, and frequently devotes himself to the elaboration of a fantastic philosophy of nature.</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above acceptation of the term, the Neoplatonic doctrine of emanations from the supra-essential One, the fanciful emanation-doctrine of some of the Gnostics (the </w:t>
      </w:r>
      <w:r>
        <w:rPr>
          <w:color w:val="000000"/>
          <w:spacing w:val="0"/>
          <w:w w:val="100"/>
          <w:position w:val="0"/>
          <w:shd w:val="clear" w:color="auto" w:fill="auto"/>
          <w:lang w:val="fr-FR" w:eastAsia="fr-FR" w:bidi="fr-FR"/>
        </w:rPr>
        <w:t xml:space="preserve">æons </w:t>
      </w:r>
      <w:r>
        <w:rPr>
          <w:color w:val="000000"/>
          <w:spacing w:val="0"/>
          <w:w w:val="100"/>
          <w:position w:val="0"/>
          <w:shd w:val="clear" w:color="auto" w:fill="auto"/>
          <w:lang w:val="en-US" w:eastAsia="en-US" w:bidi="en-US"/>
        </w:rPr>
        <w:t>of the Valentinian system might be mentioned), and the elaborate esoteric system of the Kabbalah, to which the two former in all probability largely contributed, are generally included under the head of theosophy. In the two latter instances there may be noted the allegorical interpretation of traditional doctrines and sacred writings which is a common characteristic of theosophical writers. Still more typical examples of theosophy are furnished by the mystical system of Meister Eckhart and the doctrine of Jacob Boehme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who is known as “the theo</w:t>
        <w:softHyphen/>
        <w:t>sophist ” par excellence. Eckhart’s doctrine asserts behind God a predicateless Godhead, which, though unknowable not only to man but also to itself, is, as it were, the essence or potentiality of all things. From it proceed, and in it, as their nature, exist, the three persons of the Trinity, conceived as stadia of an eternal self-revealing process. The eternal generation of the Son is equivalent to the eternal creation of the world. But the sensuous and phenomenal, as such, so far as they seem to imply independence of God, are mere privation and nothingness ; things exist only through the presence of God in them, and the goal of creation, like its outset, is the repose of the Godhead. The soul of man, which as a microcosmos resumes the nature of things, strives by self-abnegation or self-annihilation to attain this unspeakable reunion (what Eckhart calls being buried in God). Regarding evil simply as privation, Eckhart does not make it the pivot of his thought, as was afterwards done by Boehme, but his notion of the Godhead as a dark and formless essence is a favourite thesis of theosophy. The followers of Eckhart are either practical mystics, or reproduce at most what may be called their master’s speculative theology, till we come to Boehme.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mystical theology, Boehme was indebted to the writings of Paracelsus. This circumstance is not acci</w:t>
        <w:softHyphen/>
        <w:t>dental, but points to an affinity in thought. The nature- philosophers of the Renaissance, such as Nicholas of Cusa, Paracelsus, Cardan, and others, curiously blend scientific ideas with speculative notions derived from scholastic theology, from Neoplatonism, and even from the Kab</w:t>
        <w:softHyphen/>
        <w:t>balah. Hence it is customary to speak of their theories as a mixture of theosophy and physics, or theosophy aud chemistry, as the case may be. Boehme offers us a natural philosophy of the same sort. As Boehme is the typical theosophist, and as modern theosophy has nourished itself almost in every case upon the study of his works, his dominating conceptions supply us with the best illus</w:t>
        <w:softHyphen/>
        <w:t>tration of the general trend of this mode of thought. His speculation turns, as has been said, upon the necessity of reconciling the existence and the might of evil with the existence of an all-embracing and all-powerful God, with</w:t>
        <w:softHyphen/>
        <w:t xml:space="preserve">out falling iuto </w:t>
      </w:r>
      <w:r>
        <w:rPr>
          <w:color w:val="000000"/>
          <w:spacing w:val="0"/>
          <w:w w:val="100"/>
          <w:position w:val="0"/>
          <w:shd w:val="clear" w:color="auto" w:fill="auto"/>
          <w:lang w:val="fr-FR" w:eastAsia="fr-FR" w:bidi="fr-FR"/>
        </w:rPr>
        <w:t xml:space="preserve">Manichæanism </w:t>
      </w:r>
      <w:r>
        <w:rPr>
          <w:color w:val="000000"/>
          <w:spacing w:val="0"/>
          <w:w w:val="100"/>
          <w:position w:val="0"/>
          <w:shd w:val="clear" w:color="auto" w:fill="auto"/>
          <w:lang w:val="en-US" w:eastAsia="en-US" w:bidi="en-US"/>
        </w:rPr>
        <w:t>on the one hand, or, on the</w:t>
      </w:r>
    </w:p>
    <w:sectPr>
      <w:footnotePr>
        <w:pos w:val="pageBottom"/>
        <w:numFmt w:val="decimal"/>
        <w:numRestart w:val="continuous"/>
      </w:footnotePr>
      <w:pgSz w:w="12240" w:h="16840"/>
      <w:pgMar w:top="2114" w:left="1659" w:right="1625" w:bottom="1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lang w:val="la-001" w:eastAsia="la-001" w:bidi="la-001"/>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character" w:customStyle="1" w:styleId="CharStyle14">
    <w:name w:val="Body text_"/>
    <w:basedOn w:val="DefaultParagraphFont"/>
    <w:link w:val="Style13"/>
    <w:rPr>
      <w:rFonts w:ascii="Georgia" w:eastAsia="Georgia" w:hAnsi="Georgia" w:cs="Georgia"/>
      <w:b w:val="0"/>
      <w:bCs w:val="0"/>
      <w:i w:val="0"/>
      <w:iCs w:val="0"/>
      <w:smallCaps w:val="0"/>
      <w:strike w:val="0"/>
      <w:sz w:val="11"/>
      <w:szCs w:val="11"/>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lang w:val="la-001" w:eastAsia="la-001" w:bidi="la-001"/>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13">
    <w:name w:val="Body text"/>
    <w:basedOn w:val="Normal"/>
    <w:link w:val="CharStyle14"/>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