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Geschichte,</w:t>
      </w:r>
      <w:r>
        <w:rPr>
          <w:i w:val="0"/>
          <w:iCs w:val="0"/>
          <w:color w:val="000000"/>
          <w:spacing w:val="0"/>
          <w:w w:val="100"/>
          <w:position w:val="0"/>
          <w:shd w:val="clear" w:color="auto" w:fill="auto"/>
          <w:lang w:val="en-US" w:eastAsia="en-US" w:bidi="en-US"/>
        </w:rPr>
        <w:t xml:space="preserve"> 1837). He published at various times valuable contribu</w:t>
        <w:softHyphen/>
        <w:t>tions towards a history of rationalism,—</w:t>
      </w:r>
      <w:r>
        <w:rPr>
          <w:color w:val="000000"/>
          <w:spacing w:val="0"/>
          <w:w w:val="100"/>
          <w:position w:val="0"/>
          <w:shd w:val="clear" w:color="auto" w:fill="auto"/>
          <w:lang w:val="de-DE" w:eastAsia="de-DE" w:bidi="de-DE"/>
        </w:rPr>
        <w:t>Vorgeschichte des Ration</w:t>
        <w:softHyphen/>
        <w:t>alismus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(1853-62), </w:t>
      </w:r>
      <w:r>
        <w:rPr>
          <w:color w:val="000000"/>
          <w:spacing w:val="0"/>
          <w:w w:val="100"/>
          <w:position w:val="0"/>
          <w:shd w:val="clear" w:color="auto" w:fill="auto"/>
          <w:lang w:val="en-US" w:eastAsia="en-US" w:bidi="en-US"/>
        </w:rPr>
        <w:t xml:space="preserve">Geschichte </w:t>
      </w:r>
      <w:r>
        <w:rPr>
          <w:color w:val="000000"/>
          <w:spacing w:val="0"/>
          <w:w w:val="100"/>
          <w:position w:val="0"/>
          <w:shd w:val="clear" w:color="auto" w:fill="auto"/>
          <w:lang w:val="de-DE" w:eastAsia="de-DE" w:bidi="de-DE"/>
        </w:rPr>
        <w:t>des Rationalismus,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 (1865), and a number of essays connected with the history of theology and espe</w:t>
        <w:softHyphen/>
        <w:t xml:space="preserve">cially of apologetics. His views of inspiration were indicated in his work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Propheten </w:t>
      </w:r>
      <w:r>
        <w:rPr>
          <w:color w:val="000000"/>
          <w:spacing w:val="0"/>
          <w:w w:val="100"/>
          <w:position w:val="0"/>
          <w:shd w:val="clear" w:color="auto" w:fill="auto"/>
          <w:lang w:val="en-US" w:eastAsia="en-US" w:bidi="en-US"/>
        </w:rPr>
        <w:t xml:space="preserve">und </w:t>
      </w:r>
      <w:r>
        <w:rPr>
          <w:color w:val="000000"/>
          <w:spacing w:val="0"/>
          <w:w w:val="100"/>
          <w:position w:val="0"/>
          <w:shd w:val="clear" w:color="auto" w:fill="auto"/>
          <w:lang w:val="de-DE" w:eastAsia="de-DE" w:bidi="de-DE"/>
        </w:rPr>
        <w:t>ihre Weissagungen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(1860), in his essay on the </w:t>
      </w:r>
      <w:r>
        <w:rPr>
          <w:i w:val="0"/>
          <w:iCs w:val="0"/>
          <w:color w:val="000000"/>
          <w:spacing w:val="0"/>
          <w:w w:val="100"/>
          <w:position w:val="0"/>
          <w:shd w:val="clear" w:color="auto" w:fill="auto"/>
          <w:lang w:val="de-DE" w:eastAsia="de-DE" w:bidi="de-DE"/>
        </w:rPr>
        <w:t xml:space="preserve">“Alte Inspirationslehre,” </w:t>
      </w:r>
      <w:r>
        <w:rPr>
          <w:color w:val="000000"/>
          <w:spacing w:val="0"/>
          <w:w w:val="100"/>
          <w:position w:val="0"/>
          <w:shd w:val="clear" w:color="auto" w:fill="auto"/>
          <w:lang w:val="en-US" w:eastAsia="en-US" w:bidi="en-US"/>
        </w:rPr>
        <w:t xml:space="preserve">Deutsche </w:t>
      </w:r>
      <w:r>
        <w:rPr>
          <w:color w:val="000000"/>
          <w:spacing w:val="0"/>
          <w:w w:val="100"/>
          <w:position w:val="0"/>
          <w:shd w:val="clear" w:color="auto" w:fill="auto"/>
          <w:lang w:val="de-DE" w:eastAsia="de-DE" w:bidi="de-DE"/>
        </w:rPr>
        <w:t xml:space="preserve">Zeitschrift </w:t>
      </w:r>
      <w:r>
        <w:rPr>
          <w:color w:val="000000"/>
          <w:spacing w:val="0"/>
          <w:w w:val="100"/>
          <w:position w:val="0"/>
          <w:shd w:val="clear" w:color="auto" w:fill="auto"/>
          <w:lang w:val="fr-FR" w:eastAsia="fr-FR" w:bidi="fr-FR"/>
        </w:rPr>
        <w:t xml:space="preserve">fur </w:t>
      </w:r>
      <w:r>
        <w:rPr>
          <w:color w:val="000000"/>
          <w:spacing w:val="0"/>
          <w:w w:val="100"/>
          <w:position w:val="0"/>
          <w:shd w:val="clear" w:color="auto" w:fill="auto"/>
          <w:lang w:val="de-DE" w:eastAsia="de-DE" w:bidi="de-DE"/>
        </w:rPr>
        <w:t>christliche Wissenschaft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(1850), and </w:t>
      </w:r>
      <w:r>
        <w:rPr>
          <w:i w:val="0"/>
          <w:iCs w:val="0"/>
          <w:color w:val="000000"/>
          <w:spacing w:val="0"/>
          <w:w w:val="100"/>
          <w:position w:val="0"/>
          <w:shd w:val="clear" w:color="auto" w:fill="auto"/>
          <w:lang w:val="de-DE" w:eastAsia="de-DE" w:bidi="de-DE"/>
        </w:rPr>
        <w:t xml:space="preserve">in his </w:t>
      </w:r>
      <w:r>
        <w:rPr>
          <w:color w:val="000000"/>
          <w:spacing w:val="0"/>
          <w:w w:val="100"/>
          <w:position w:val="0"/>
          <w:shd w:val="clear" w:color="auto" w:fill="auto"/>
          <w:lang w:val="de-DE" w:eastAsia="de-DE" w:bidi="de-DE"/>
        </w:rPr>
        <w:t>Gespräche über die vornehmsten Glaubensfragen der Zeit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(1846, 2d </w:t>
      </w:r>
      <w:r>
        <w:rPr>
          <w:i w:val="0"/>
          <w:iCs w:val="0"/>
          <w:color w:val="000000"/>
          <w:spacing w:val="0"/>
          <w:w w:val="100"/>
          <w:position w:val="0"/>
          <w:shd w:val="clear" w:color="auto" w:fill="auto"/>
          <w:lang w:val="de-DE" w:eastAsia="de-DE" w:bidi="de-DE"/>
        </w:rPr>
        <w:t xml:space="preserve">ed. </w:t>
      </w:r>
      <w:r>
        <w:rPr>
          <w:i w:val="0"/>
          <w:iCs w:val="0"/>
          <w:color w:val="000000"/>
          <w:spacing w:val="0"/>
          <w:w w:val="100"/>
          <w:position w:val="0"/>
          <w:shd w:val="clear" w:color="auto" w:fill="auto"/>
          <w:lang w:val="en-US" w:eastAsia="en-US" w:bidi="en-US"/>
        </w:rPr>
        <w:t>1867).</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de-DE" w:eastAsia="de-DE" w:bidi="de-DE"/>
        </w:rPr>
        <w:t xml:space="preserve">See </w:t>
      </w:r>
      <w:r>
        <w:rPr>
          <w:i/>
          <w:iCs/>
          <w:color w:val="000000"/>
          <w:spacing w:val="0"/>
          <w:w w:val="100"/>
          <w:position w:val="0"/>
          <w:shd w:val="clear" w:color="auto" w:fill="auto"/>
          <w:lang w:val="de-DE" w:eastAsia="de-DE" w:bidi="de-DE"/>
        </w:rPr>
        <w:t xml:space="preserve">Das Leben </w:t>
      </w:r>
      <w:r>
        <w:rPr>
          <w:i/>
          <w:iCs/>
          <w:color w:val="000000"/>
          <w:spacing w:val="0"/>
          <w:w w:val="100"/>
          <w:position w:val="0"/>
          <w:shd w:val="clear" w:color="auto" w:fill="auto"/>
          <w:lang w:val="en-US" w:eastAsia="en-US" w:bidi="en-US"/>
        </w:rPr>
        <w:t>Thοlucks,</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de-DE" w:eastAsia="de-DE" w:bidi="de-DE"/>
        </w:rPr>
        <w:t xml:space="preserve">L. witte,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1884-1886 </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Tholuck, ein Lebens</w:t>
        <w:softHyphen/>
        <w:t>abriss,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Μ. Kähler </w:t>
      </w:r>
      <w:r>
        <w:rPr>
          <w:color w:val="000000"/>
          <w:spacing w:val="0"/>
          <w:w w:val="100"/>
          <w:position w:val="0"/>
          <w:shd w:val="clear" w:color="auto" w:fill="auto"/>
          <w:lang w:val="en-US" w:eastAsia="en-US" w:bidi="en-US"/>
        </w:rPr>
        <w:t xml:space="preserve">(1877), and the same author’s art. “Tholuck,” in Herzog’s </w:t>
      </w:r>
      <w:r>
        <w:rPr>
          <w:i/>
          <w:iCs/>
          <w:color w:val="000000"/>
          <w:spacing w:val="0"/>
          <w:w w:val="100"/>
          <w:position w:val="0"/>
          <w:shd w:val="clear" w:color="auto" w:fill="auto"/>
          <w:lang w:val="de-DE" w:eastAsia="de-DE" w:bidi="de-DE"/>
        </w:rPr>
        <w:t>Real-Encyklopädie;</w:t>
      </w:r>
      <w:r>
        <w:rPr>
          <w:color w:val="000000"/>
          <w:spacing w:val="0"/>
          <w:w w:val="100"/>
          <w:position w:val="0"/>
          <w:shd w:val="clear" w:color="auto" w:fill="auto"/>
          <w:lang w:val="de-DE" w:eastAsia="de-DE" w:bidi="de-DE"/>
        </w:rPr>
        <w:t xml:space="preserve"> “Zur Erinnerung </w:t>
      </w:r>
      <w:r>
        <w:rPr>
          <w:color w:val="000000"/>
          <w:spacing w:val="0"/>
          <w:w w:val="100"/>
          <w:position w:val="0"/>
          <w:shd w:val="clear" w:color="auto" w:fill="auto"/>
          <w:lang w:val="en-US" w:eastAsia="en-US" w:bidi="en-US"/>
        </w:rPr>
        <w:t xml:space="preserve">an Tholuck,” by C. Siegfried, </w:t>
      </w:r>
      <w:r>
        <w:rPr>
          <w:i/>
          <w:iCs/>
          <w:color w:val="000000"/>
          <w:spacing w:val="0"/>
          <w:w w:val="100"/>
          <w:position w:val="0"/>
          <w:shd w:val="clear" w:color="auto" w:fill="auto"/>
          <w:lang w:val="de-DE" w:eastAsia="de-DE" w:bidi="de-DE"/>
        </w:rPr>
        <w:t>Protestant</w:t>
        <w:softHyphen/>
        <w:t>ische Kirchzeitung,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1885, No. 45, and 1886, No. 47; Carl Schwarz,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neuesten Theologie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(4th ed., 1869); Nippold’s </w:t>
      </w:r>
      <w:r>
        <w:rPr>
          <w:i/>
          <w:iCs/>
          <w:color w:val="000000"/>
          <w:spacing w:val="0"/>
          <w:w w:val="100"/>
          <w:position w:val="0"/>
          <w:shd w:val="clear" w:color="auto" w:fill="auto"/>
          <w:lang w:val="de-DE" w:eastAsia="de-DE" w:bidi="de-DE"/>
        </w:rPr>
        <w:t>Handbuch der neuesten Kirchen</w:t>
        <w:softHyphen/>
        <w:t>geschichte.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THOMAS,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one of the twelve apostles. The synop</w:t>
        <w:softHyphen/>
        <w:t xml:space="preserve">tical Gospels give only his name, associating him in their lists with Matthew (Mat. x. 3; Mark iii. 18; Luke vi. 15); in Acts i. 13 he is coupled with Philip. In the Gospel of John (xi. 16; xiv. 5; xx. 24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xxi. 2) he appears in a characteristic light, full of personal devotion and ready to die with his Master, but slow to grasp the true significance of the redeeming death of Jesus, and incredulous of the resurrection till direct evidence con</w:t>
        <w:softHyphen/>
        <w:t>vinces him of its truth and at the same time of the Divinity of his risen Lord. John translates the Aramaic name or surname Thomas (</w:t>
      </w:r>
      <w:r>
        <w:rPr>
          <w:rFonts w:ascii="Arial Unicode MS" w:eastAsia="Arial Unicode MS" w:hAnsi="Arial Unicode MS" w:cs="Arial Unicode MS"/>
          <w:color w:val="000000"/>
          <w:spacing w:val="0"/>
          <w:w w:val="100"/>
          <w:position w:val="0"/>
          <w:shd w:val="clear" w:color="auto" w:fill="auto"/>
          <w:lang w:val="en-US" w:eastAsia="en-US" w:bidi="en-US"/>
        </w:rPr>
        <w:t>תאומא</w:t>
      </w:r>
      <w:r>
        <w:rPr>
          <w:color w:val="000000"/>
          <w:spacing w:val="0"/>
          <w:w w:val="100"/>
          <w:position w:val="0"/>
          <w:shd w:val="clear" w:color="auto" w:fill="auto"/>
          <w:lang w:val="en-US" w:eastAsia="en-US" w:bidi="en-US"/>
        </w:rPr>
        <w:t>) by the Greek equiva</w:t>
        <w:softHyphen/>
        <w:t xml:space="preserve">lent Didymus (twin). Tradition has it that he was the twin brother of a sister </w:t>
      </w:r>
      <w:r>
        <w:rPr>
          <w:color w:val="000000"/>
          <w:spacing w:val="0"/>
          <w:w w:val="100"/>
          <w:position w:val="0"/>
          <w:shd w:val="clear" w:color="auto" w:fill="auto"/>
          <w:lang w:val="la-001" w:eastAsia="la-001" w:bidi="la-001"/>
        </w:rPr>
        <w:t xml:space="preserve">Lysia </w:t>
      </w:r>
      <w:r>
        <w:rPr>
          <w:color w:val="000000"/>
          <w:spacing w:val="0"/>
          <w:w w:val="100"/>
          <w:position w:val="0"/>
          <w:shd w:val="clear" w:color="auto" w:fill="auto"/>
          <w:lang w:val="en-US" w:eastAsia="en-US" w:bidi="en-US"/>
        </w:rPr>
        <w:t xml:space="preserve">(his parents being Diophanes and Rhoa, and his birthplace Antioch; “XII. Apost. </w:t>
      </w:r>
      <w:r>
        <w:rPr>
          <w:color w:val="000000"/>
          <w:spacing w:val="0"/>
          <w:w w:val="100"/>
          <w:position w:val="0"/>
          <w:shd w:val="clear" w:color="auto" w:fill="auto"/>
          <w:lang w:val="fr-FR" w:eastAsia="fr-FR" w:bidi="fr-FR"/>
        </w:rPr>
        <w:t xml:space="preserve">Patriæ,”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Chron. Pasch.,</w:t>
      </w:r>
      <w:r>
        <w:rPr>
          <w:color w:val="000000"/>
          <w:spacing w:val="0"/>
          <w:w w:val="100"/>
          <w:position w:val="0"/>
          <w:shd w:val="clear" w:color="auto" w:fill="auto"/>
          <w:lang w:val="en-US" w:eastAsia="en-US" w:bidi="en-US"/>
        </w:rPr>
        <w:t xml:space="preserve"> ii. 142), or of a brother </w:t>
      </w:r>
      <w:r>
        <w:rPr>
          <w:color w:val="000000"/>
          <w:spacing w:val="0"/>
          <w:w w:val="100"/>
          <w:position w:val="0"/>
          <w:shd w:val="clear" w:color="auto" w:fill="auto"/>
          <w:lang w:val="de-DE" w:eastAsia="de-DE" w:bidi="de-DE"/>
        </w:rPr>
        <w:t xml:space="preserve">Elieser </w:t>
      </w:r>
      <w:r>
        <w:rPr>
          <w:i/>
          <w:iCs/>
          <w:color w:val="000000"/>
          <w:spacing w:val="0"/>
          <w:w w:val="100"/>
          <w:position w:val="0"/>
          <w:shd w:val="clear" w:color="auto" w:fill="auto"/>
          <w:lang w:val="en-US" w:eastAsia="en-US" w:bidi="en-US"/>
        </w:rPr>
        <w:t>(Hom. Clem.,</w:t>
      </w:r>
      <w:r>
        <w:rPr>
          <w:color w:val="000000"/>
          <w:spacing w:val="0"/>
          <w:w w:val="100"/>
          <w:position w:val="0"/>
          <w:shd w:val="clear" w:color="auto" w:fill="auto"/>
          <w:lang w:val="en-US" w:eastAsia="en-US" w:bidi="en-US"/>
        </w:rPr>
        <w:t xml:space="preserve"> ii. 1), or, according to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fr-FR" w:eastAsia="fr-FR" w:bidi="fr-FR"/>
        </w:rPr>
        <w:t>Thomæ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(ed. Bonnet, pp. 11, 23), of Jesus Himself. The last form of the tradi</w:t>
        <w:softHyphen/>
        <w:t xml:space="preserve">tion seems to be derived from the name Judas Thomas, which he bears in </w:t>
      </w:r>
      <w:r>
        <w:rPr>
          <w:color w:val="000000"/>
          <w:spacing w:val="0"/>
          <w:w w:val="100"/>
          <w:position w:val="0"/>
          <w:shd w:val="clear" w:color="auto" w:fill="auto"/>
          <w:lang w:val="la-001" w:eastAsia="la-001" w:bidi="la-001"/>
        </w:rPr>
        <w:t xml:space="preserve">Edessene </w:t>
      </w:r>
      <w:r>
        <w:rPr>
          <w:color w:val="000000"/>
          <w:spacing w:val="0"/>
          <w:w w:val="100"/>
          <w:position w:val="0"/>
          <w:shd w:val="clear" w:color="auto" w:fill="auto"/>
          <w:lang w:val="en-US" w:eastAsia="en-US" w:bidi="en-US"/>
        </w:rPr>
        <w:t xml:space="preserve">legend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Eusebius, </w:t>
      </w:r>
      <w:r>
        <w:rPr>
          <w:i/>
          <w:iCs/>
          <w:color w:val="000000"/>
          <w:spacing w:val="0"/>
          <w:w w:val="100"/>
          <w:position w:val="0"/>
          <w:shd w:val="clear" w:color="auto" w:fill="auto"/>
          <w:lang w:val="en-US" w:eastAsia="en-US" w:bidi="en-US"/>
        </w:rPr>
        <w:t xml:space="preserve">H. E., </w:t>
      </w:r>
      <w:r>
        <w:rPr>
          <w:color w:val="000000"/>
          <w:spacing w:val="0"/>
          <w:w w:val="100"/>
          <w:position w:val="0"/>
          <w:shd w:val="clear" w:color="auto" w:fill="auto"/>
          <w:lang w:val="en-US" w:eastAsia="en-US" w:bidi="en-US"/>
        </w:rPr>
        <w:t>i. 13, 10), and implies the identification of Thomas with Judas, the brother of the Lord. The most ancient tradi</w:t>
        <w:softHyphen/>
        <w:t xml:space="preserve">tion makes Thomas the evangelist of </w:t>
      </w:r>
      <w:r>
        <w:rPr>
          <w:color w:val="000000"/>
          <w:spacing w:val="0"/>
          <w:w w:val="100"/>
          <w:position w:val="0"/>
          <w:shd w:val="clear" w:color="auto" w:fill="auto"/>
          <w:lang w:val="la-001" w:eastAsia="la-001" w:bidi="la-001"/>
        </w:rPr>
        <w:t xml:space="preserve">Parthia </w:t>
      </w:r>
      <w:r>
        <w:rPr>
          <w:color w:val="000000"/>
          <w:spacing w:val="0"/>
          <w:w w:val="100"/>
          <w:position w:val="0"/>
          <w:shd w:val="clear" w:color="auto" w:fill="auto"/>
          <w:lang w:val="en-US" w:eastAsia="en-US" w:bidi="en-US"/>
        </w:rPr>
        <w:t xml:space="preserve">(Eus., </w:t>
      </w:r>
      <w:r>
        <w:rPr>
          <w:i/>
          <w:iCs/>
          <w:color w:val="000000"/>
          <w:spacing w:val="0"/>
          <w:w w:val="100"/>
          <w:position w:val="0"/>
          <w:shd w:val="clear" w:color="auto" w:fill="auto"/>
          <w:lang w:val="en-US" w:eastAsia="en-US" w:bidi="en-US"/>
        </w:rPr>
        <w:t xml:space="preserve">H. E., </w:t>
      </w:r>
      <w:r>
        <w:rPr>
          <w:color w:val="000000"/>
          <w:spacing w:val="0"/>
          <w:w w:val="100"/>
          <w:position w:val="0"/>
          <w:shd w:val="clear" w:color="auto" w:fill="auto"/>
          <w:lang w:val="en-US" w:eastAsia="en-US" w:bidi="en-US"/>
        </w:rPr>
        <w:t xml:space="preserve">iii. 1, 1); and at Edessa, which claimed to possess his bones, it was related that their missionary </w:t>
      </w:r>
      <w:r>
        <w:rPr>
          <w:color w:val="000000"/>
          <w:spacing w:val="0"/>
          <w:w w:val="100"/>
          <w:position w:val="0"/>
          <w:shd w:val="clear" w:color="auto" w:fill="auto"/>
          <w:lang w:val="fr-FR" w:eastAsia="fr-FR" w:bidi="fr-FR"/>
        </w:rPr>
        <w:t xml:space="preserve">Thaddæus </w:t>
      </w:r>
      <w:r>
        <w:rPr>
          <w:color w:val="000000"/>
          <w:spacing w:val="0"/>
          <w:w w:val="100"/>
          <w:position w:val="0"/>
          <w:shd w:val="clear" w:color="auto" w:fill="auto"/>
          <w:lang w:val="en-US" w:eastAsia="en-US" w:bidi="en-US"/>
        </w:rPr>
        <w:t xml:space="preserve">(Eus., </w:t>
      </w:r>
      <w:r>
        <w:rPr>
          <w:i/>
          <w:iCs/>
          <w:color w:val="000000"/>
          <w:spacing w:val="0"/>
          <w:w w:val="100"/>
          <w:position w:val="0"/>
          <w:shd w:val="clear" w:color="auto" w:fill="auto"/>
          <w:lang w:val="en-US" w:eastAsia="en-US" w:bidi="en-US"/>
        </w:rPr>
        <w:t>H. E.,</w:t>
      </w:r>
      <w:r>
        <w:rPr>
          <w:color w:val="000000"/>
          <w:spacing w:val="0"/>
          <w:w w:val="100"/>
          <w:position w:val="0"/>
          <w:shd w:val="clear" w:color="auto" w:fill="auto"/>
          <w:lang w:val="en-US" w:eastAsia="en-US" w:bidi="en-US"/>
        </w:rPr>
        <w:t xml:space="preserve"> i. 13, 10), or Addai (</w:t>
      </w:r>
      <w:r>
        <w:rPr>
          <w:i/>
          <w:iCs/>
          <w:color w:val="000000"/>
          <w:spacing w:val="0"/>
          <w:w w:val="100"/>
          <w:position w:val="0"/>
          <w:shd w:val="clear" w:color="auto" w:fill="auto"/>
          <w:lang w:val="en-US" w:eastAsia="en-US" w:bidi="en-US"/>
        </w:rPr>
        <w:t>Doctrine of Addai,</w:t>
      </w:r>
      <w:r>
        <w:rPr>
          <w:color w:val="000000"/>
          <w:spacing w:val="0"/>
          <w:w w:val="100"/>
          <w:position w:val="0"/>
          <w:shd w:val="clear" w:color="auto" w:fill="auto"/>
          <w:lang w:val="en-US" w:eastAsia="en-US" w:bidi="en-US"/>
        </w:rPr>
        <w:t xml:space="preserve"> ed. Phillips, 1876, p. 5), was sent to them by him. Later tradition, originating with the Gnostic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fr-FR" w:eastAsia="fr-FR" w:bidi="fr-FR"/>
        </w:rPr>
        <w:t>Thomæ,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accepted by catholic teachers from the middle of the 4th century, makes him proceed to India and there suffer martyrdom. The Indian king Gundaphorus of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is, however, certainly identical with the historical Gondophares (see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vol. xviii. p. 603), whose dynasty was Parthian, though his realm included regions loosely reckoned to India. The Parthian and Indian missions of Thomas may perhaps therefore be regarded as derived from a single tradition. Later authors, but not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give as the scene of his martyrdom the city of Calamine, which the modern Christians of St Thomas (see below) identify with Mylapur, but which Gutschmid would connect with the </w:t>
      </w:r>
      <w:r>
        <w:rPr>
          <w:color w:val="000000"/>
          <w:spacing w:val="0"/>
          <w:w w:val="100"/>
          <w:position w:val="0"/>
          <w:shd w:val="clear" w:color="auto" w:fill="auto"/>
          <w:lang w:val="de-DE" w:eastAsia="de-DE" w:bidi="de-DE"/>
        </w:rPr>
        <w:t xml:space="preserve">Calama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Nearchus, </w:t>
      </w:r>
      <w:r>
        <w:rPr>
          <w:color w:val="000000"/>
          <w:spacing w:val="0"/>
          <w:w w:val="100"/>
          <w:position w:val="0"/>
          <w:shd w:val="clear" w:color="auto" w:fill="auto"/>
          <w:lang w:val="en-US" w:eastAsia="en-US" w:bidi="en-US"/>
        </w:rPr>
        <w:t xml:space="preserve">on the coast of </w:t>
      </w:r>
      <w:r>
        <w:rPr>
          <w:color w:val="000000"/>
          <w:spacing w:val="0"/>
          <w:w w:val="100"/>
          <w:position w:val="0"/>
          <w:shd w:val="clear" w:color="auto" w:fill="auto"/>
          <w:lang w:val="la-001" w:eastAsia="la-001" w:bidi="la-001"/>
        </w:rPr>
        <w:t xml:space="preserve">Gedrosia, </w:t>
      </w:r>
      <w:r>
        <w:rPr>
          <w:color w:val="000000"/>
          <w:spacing w:val="0"/>
          <w:w w:val="100"/>
          <w:position w:val="0"/>
          <w:shd w:val="clear" w:color="auto" w:fill="auto"/>
          <w:lang w:val="en-US" w:eastAsia="en-US" w:bidi="en-US"/>
        </w:rPr>
        <w:t>which was under the sceptre of Gondophares. Other names of his</w:t>
        <w:softHyphen/>
        <w:t xml:space="preserve">torical persons and places can be traced with more or less probability in the </w:t>
      </w:r>
      <w:r>
        <w:rPr>
          <w:i/>
          <w:iCs/>
          <w:color w:val="000000"/>
          <w:spacing w:val="0"/>
          <w:w w:val="100"/>
          <w:position w:val="0"/>
          <w:shd w:val="clear" w:color="auto" w:fill="auto"/>
          <w:lang w:val="en-US" w:eastAsia="en-US" w:bidi="en-US"/>
        </w:rPr>
        <w:t>Acta,</w:t>
      </w:r>
      <w:r>
        <w:rPr>
          <w:color w:val="000000"/>
          <w:spacing w:val="0"/>
          <w:w w:val="100"/>
          <w:position w:val="0"/>
          <w:shd w:val="clear" w:color="auto" w:fill="auto"/>
          <w:lang w:val="en-US" w:eastAsia="en-US" w:bidi="en-US"/>
        </w:rPr>
        <w:t xml:space="preserve"> but these do not alter the utterly apocryphal character of the legend, which indeed is in many respects easier to understand if we accept the bold hypothesis of Gutschmid, that it was borrowed by the Gnostic author from a Buddhist story of the conversion of </w:t>
      </w:r>
      <w:r>
        <w:rPr>
          <w:color w:val="000000"/>
          <w:spacing w:val="0"/>
          <w:w w:val="100"/>
          <w:position w:val="0"/>
          <w:shd w:val="clear" w:color="auto" w:fill="auto"/>
          <w:lang w:val="la-001" w:eastAsia="la-001" w:bidi="la-001"/>
        </w:rPr>
        <w:t xml:space="preserve">Arachosia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 R</w:t>
      </w:r>
      <w:r>
        <w:rPr>
          <w:i/>
          <w:iCs/>
          <w:color w:val="000000"/>
          <w:spacing w:val="0"/>
          <w:w w:val="100"/>
          <w:position w:val="0"/>
          <w:shd w:val="clear" w:color="auto" w:fill="auto"/>
          <w:lang w:val="fr-FR" w:eastAsia="fr-FR" w:bidi="fr-FR"/>
        </w:rPr>
        <w:t xml:space="preserve">hein. Mus., </w:t>
      </w:r>
      <w:r>
        <w:rPr>
          <w:i/>
          <w:iCs/>
          <w:color w:val="000000"/>
          <w:spacing w:val="0"/>
          <w:w w:val="100"/>
          <w:position w:val="0"/>
          <w:shd w:val="clear" w:color="auto" w:fill="auto"/>
          <w:lang w:val="en-US" w:eastAsia="en-US" w:bidi="en-US"/>
        </w:rPr>
        <w:t>xix.</w:t>
      </w:r>
      <w:r>
        <w:rPr>
          <w:color w:val="000000"/>
          <w:spacing w:val="0"/>
          <w:w w:val="100"/>
          <w:position w:val="0"/>
          <w:shd w:val="clear" w:color="auto" w:fill="auto"/>
          <w:lang w:val="en-US" w:eastAsia="en-US" w:bidi="en-US"/>
        </w:rPr>
        <w:t xml:space="preserve"> 161 </w:t>
      </w:r>
      <w:r>
        <w:rPr>
          <w:i/>
          <w:iCs/>
          <w:color w:val="000000"/>
          <w:spacing w:val="0"/>
          <w:w w:val="100"/>
          <w:position w:val="0"/>
          <w:shd w:val="clear" w:color="auto" w:fill="auto"/>
          <w:lang w:val="la-001" w:eastAsia="la-001" w:bidi="la-001"/>
        </w:rPr>
        <w:t>sq.).</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Acta </w:t>
      </w:r>
      <w:r>
        <w:rPr>
          <w:color w:val="000000"/>
          <w:spacing w:val="0"/>
          <w:w w:val="100"/>
          <w:position w:val="0"/>
          <w:shd w:val="clear" w:color="auto" w:fill="auto"/>
          <w:lang w:val="fr-FR" w:eastAsia="fr-FR" w:bidi="fr-FR"/>
        </w:rPr>
        <w:t>Thomæ,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very imperfectly published by Thilo (1823) and </w:t>
      </w:r>
      <w:r>
        <w:rPr>
          <w:i w:val="0"/>
          <w:iCs w:val="0"/>
          <w:color w:val="000000"/>
          <w:spacing w:val="0"/>
          <w:w w:val="100"/>
          <w:position w:val="0"/>
          <w:shd w:val="clear" w:color="auto" w:fill="auto"/>
          <w:lang w:val="de-DE" w:eastAsia="de-DE" w:bidi="de-DE"/>
        </w:rPr>
        <w:t xml:space="preserve">Tischendorf </w:t>
      </w:r>
      <w:r>
        <w:rPr>
          <w:i w:val="0"/>
          <w:iCs w:val="0"/>
          <w:color w:val="000000"/>
          <w:spacing w:val="0"/>
          <w:w w:val="100"/>
          <w:position w:val="0"/>
          <w:shd w:val="clear" w:color="auto" w:fill="auto"/>
          <w:lang w:val="en-US" w:eastAsia="en-US" w:bidi="en-US"/>
        </w:rPr>
        <w:t xml:space="preserve">(1851), have been edited in Greek, together with the Latin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Miraculis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Passio </w:t>
      </w:r>
      <w:r>
        <w:rPr>
          <w:color w:val="000000"/>
          <w:spacing w:val="0"/>
          <w:w w:val="100"/>
          <w:position w:val="0"/>
          <w:shd w:val="clear" w:color="auto" w:fill="auto"/>
          <w:lang w:val="fr-FR" w:eastAsia="fr-FR" w:bidi="fr-FR"/>
        </w:rPr>
        <w:t>S. Thomæ,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by Bonnet (Leipsic, 1883), and in Syriac, with an English translation, by W. Wright </w:t>
      </w:r>
      <w:r>
        <w:rPr>
          <w:color w:val="000000"/>
          <w:spacing w:val="0"/>
          <w:w w:val="100"/>
          <w:position w:val="0"/>
          <w:shd w:val="clear" w:color="auto" w:fill="auto"/>
          <w:lang w:val="en-US" w:eastAsia="en-US" w:bidi="en-US"/>
        </w:rPr>
        <w:t>(Apocryphal Acts,</w:t>
      </w:r>
      <w:r>
        <w:rPr>
          <w:i w:val="0"/>
          <w:iCs w:val="0"/>
          <w:color w:val="000000"/>
          <w:spacing w:val="0"/>
          <w:w w:val="100"/>
          <w:position w:val="0"/>
          <w:shd w:val="clear" w:color="auto" w:fill="auto"/>
          <w:lang w:val="en-US" w:eastAsia="en-US" w:bidi="en-US"/>
        </w:rPr>
        <w:t xml:space="preserve"> 2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London, 1871). See also Lipsius, </w:t>
      </w:r>
      <w:r>
        <w:rPr>
          <w:color w:val="000000"/>
          <w:spacing w:val="0"/>
          <w:w w:val="100"/>
          <w:position w:val="0"/>
          <w:shd w:val="clear" w:color="auto" w:fill="auto"/>
          <w:lang w:val="en-US" w:eastAsia="en-US" w:bidi="en-US"/>
        </w:rPr>
        <w:t xml:space="preserve">Die apocryρhen </w:t>
      </w:r>
      <w:r>
        <w:rPr>
          <w:color w:val="000000"/>
          <w:spacing w:val="0"/>
          <w:w w:val="100"/>
          <w:position w:val="0"/>
          <w:shd w:val="clear" w:color="auto" w:fill="auto"/>
          <w:lang w:val="de-DE" w:eastAsia="de-DE" w:bidi="de-DE"/>
        </w:rPr>
        <w:t>Apostelgeschichten,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vol. i. (Brunswick, 1883), for these and other versions of the legend. The </w:t>
      </w:r>
      <w:r>
        <w:rPr>
          <w:color w:val="000000"/>
          <w:spacing w:val="0"/>
          <w:w w:val="100"/>
          <w:position w:val="0"/>
          <w:shd w:val="clear" w:color="auto" w:fill="auto"/>
          <w:lang w:val="en-US" w:eastAsia="en-US" w:bidi="en-US"/>
        </w:rPr>
        <w:t>Acta</w:t>
      </w:r>
      <w:r>
        <w:rPr>
          <w:i w:val="0"/>
          <w:iCs w:val="0"/>
          <w:color w:val="000000"/>
          <w:spacing w:val="0"/>
          <w:w w:val="100"/>
          <w:position w:val="0"/>
          <w:shd w:val="clear" w:color="auto" w:fill="auto"/>
          <w:lang w:val="en-US" w:eastAsia="en-US" w:bidi="en-US"/>
        </w:rPr>
        <w:t xml:space="preserve"> are said by Photius to be a part of the ∏</w:t>
      </w:r>
      <w:r>
        <w:rPr>
          <w:i w:val="0"/>
          <w:iCs w:val="0"/>
          <w:color w:val="000000"/>
          <w:spacing w:val="0"/>
          <w:w w:val="100"/>
          <w:position w:val="0"/>
          <w:shd w:val="clear" w:color="auto" w:fill="auto"/>
          <w:lang w:val="en-US" w:eastAsia="en-US" w:bidi="en-US"/>
        </w:rPr>
        <w:t>ϵρί</w:t>
      </w:r>
      <w:r>
        <w:rPr>
          <w:i w:val="0"/>
          <w:iCs w:val="0"/>
          <w:color w:val="000000"/>
          <w:spacing w:val="0"/>
          <w:w w:val="100"/>
          <w:position w:val="0"/>
          <w:shd w:val="clear" w:color="auto" w:fill="auto"/>
          <w:lang w:val="en-US" w:eastAsia="en-US" w:bidi="en-US"/>
        </w:rPr>
        <w:t>oδo</w:t>
      </w:r>
      <w:r>
        <w:rPr>
          <w:i w:val="0"/>
          <w:iCs w:val="0"/>
          <w:color w:val="000000"/>
          <w:spacing w:val="0"/>
          <w:w w:val="100"/>
          <w:position w:val="0"/>
          <w:shd w:val="clear" w:color="auto" w:fill="auto"/>
          <w:lang w:val="en-US" w:eastAsia="en-US" w:bidi="en-US"/>
        </w:rPr>
        <w:t>ι</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τ</w:t>
      </w:r>
      <w:r>
        <w:rPr>
          <w:rFonts w:ascii="Arial Unicode MS" w:eastAsia="Arial Unicode MS" w:hAnsi="Arial Unicode MS" w:cs="Arial Unicode MS"/>
          <w:color w:val="000000"/>
          <w:spacing w:val="0"/>
          <w:w w:val="100"/>
          <w:position w:val="0"/>
          <w:shd w:val="clear" w:color="auto" w:fill="auto"/>
          <w:lang w:val="en-US" w:eastAsia="en-US" w:bidi="en-US"/>
        </w:rPr>
        <w:t>ῶ</w:t>
      </w:r>
      <w:r>
        <w:rPr>
          <w:color w:val="000000"/>
          <w:spacing w:val="0"/>
          <w:w w:val="100"/>
          <w:position w:val="0"/>
          <w:shd w:val="clear" w:color="auto" w:fill="auto"/>
          <w:lang w:val="el-GR" w:eastAsia="el-GR" w:bidi="el-GR"/>
        </w:rPr>
        <w:t xml:space="preserve">ν </w:t>
      </w:r>
      <w:r>
        <w:rPr>
          <w:rFonts w:ascii="Times New Roman" w:eastAsia="Times New Roman" w:hAnsi="Times New Roman" w:cs="Times New Roman"/>
          <w:color w:val="000000"/>
          <w:spacing w:val="0"/>
          <w:w w:val="100"/>
          <w:position w:val="0"/>
          <w:shd w:val="clear" w:color="auto" w:fill="auto"/>
          <w:lang w:val="en-US" w:eastAsia="en-US" w:bidi="en-US"/>
        </w:rPr>
        <w:t>ἀ</w:t>
      </w:r>
      <w:r>
        <w:rPr>
          <w:color w:val="000000"/>
          <w:spacing w:val="0"/>
          <w:w w:val="100"/>
          <w:position w:val="0"/>
          <w:shd w:val="clear" w:color="auto" w:fill="auto"/>
          <w:lang w:val="el-GR" w:eastAsia="el-GR" w:bidi="el-GR"/>
        </w:rPr>
        <w:t>ποστόλων</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of the Gnostic Leucius Charinus, but this unknown personage is to be thought of as a col</w:t>
        <w:softHyphen/>
        <w:t xml:space="preserve">lector of Gnostic “ Acts of Apostles,” rather than as the first author. In spite of extensive catholic revision, they form one of the most interesting monuments of early Gnosticism. Internal evidence </w:t>
      </w:r>
      <w:r>
        <w:rPr>
          <w:i w:val="0"/>
          <w:iCs w:val="0"/>
          <w:color w:val="000000"/>
          <w:spacing w:val="0"/>
          <w:w w:val="100"/>
          <w:position w:val="0"/>
          <w:shd w:val="clear" w:color="auto" w:fill="auto"/>
          <w:lang w:val="en-US" w:eastAsia="en-US" w:bidi="en-US"/>
        </w:rPr>
        <w:t>assigns them with great probability to the school of Bardesanes, and the very ancient allegorical hymn about the soul which is in</w:t>
        <w:softHyphen/>
        <w:t xml:space="preserve">serted in the Syriac text (p. 274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Eng. tr., p. 238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is per</w:t>
        <w:softHyphen/>
        <w:t xml:space="preserve">haps by Bardesanes himself </w:t>
      </w:r>
      <w:r>
        <w:rPr>
          <w:color w:val="000000"/>
          <w:spacing w:val="0"/>
          <w:w w:val="100"/>
          <w:position w:val="0"/>
          <w:shd w:val="clear" w:color="auto" w:fill="auto"/>
          <w:lang w:val="en-US" w:eastAsia="en-US" w:bidi="en-US"/>
        </w:rPr>
        <w:t>(ef.</w:t>
      </w:r>
      <w:r>
        <w:rPr>
          <w:i w:val="0"/>
          <w:iCs w:val="0"/>
          <w:color w:val="000000"/>
          <w:spacing w:val="0"/>
          <w:w w:val="100"/>
          <w:position w:val="0"/>
          <w:shd w:val="clear" w:color="auto" w:fill="auto"/>
          <w:lang w:val="en-US" w:eastAsia="en-US" w:bidi="en-US"/>
        </w:rPr>
        <w:t xml:space="preserve"> Nöldeke in </w:t>
      </w:r>
      <w:r>
        <w:rPr>
          <w:color w:val="000000"/>
          <w:spacing w:val="0"/>
          <w:w w:val="100"/>
          <w:position w:val="0"/>
          <w:shd w:val="clear" w:color="auto" w:fill="auto"/>
          <w:lang w:val="en-US" w:eastAsia="en-US" w:bidi="en-US"/>
        </w:rPr>
        <w:t>Z. D. Μ. G.,</w:t>
      </w:r>
      <w:r>
        <w:rPr>
          <w:i w:val="0"/>
          <w:iCs w:val="0"/>
          <w:color w:val="000000"/>
          <w:spacing w:val="0"/>
          <w:w w:val="100"/>
          <w:position w:val="0"/>
          <w:shd w:val="clear" w:color="auto" w:fill="auto"/>
          <w:lang w:val="en-US" w:eastAsia="en-US" w:bidi="en-US"/>
        </w:rPr>
        <w:t xml:space="preserve"> 1871, p. 676). It is one of the most remarkable pieces in Syriac literature.</w:t>
      </w:r>
    </w:p>
    <w:p>
      <w:pPr>
        <w:pStyle w:val="Style3"/>
        <w:keepNext w:val="0"/>
        <w:keepLines w:val="0"/>
        <w:widowControl w:val="0"/>
        <w:shd w:val="clear" w:color="auto" w:fill="auto"/>
        <w:bidi w:val="0"/>
        <w:spacing w:line="233" w:lineRule="auto"/>
        <w:ind w:left="0" w:firstLine="360"/>
        <w:jc w:val="left"/>
      </w:pPr>
      <w:r>
        <w:rPr>
          <w:i w:val="0"/>
          <w:iCs w:val="0"/>
          <w:smallCaps/>
          <w:color w:val="000000"/>
          <w:spacing w:val="0"/>
          <w:w w:val="100"/>
          <w:position w:val="0"/>
          <w:shd w:val="clear" w:color="auto" w:fill="auto"/>
          <w:lang w:val="en-US" w:eastAsia="en-US" w:bidi="en-US"/>
        </w:rPr>
        <w:t>Christians of St Thomas</w:t>
      </w:r>
      <w:r>
        <w:rPr>
          <w:i w:val="0"/>
          <w:iCs w:val="0"/>
          <w:color w:val="000000"/>
          <w:spacing w:val="0"/>
          <w:w w:val="100"/>
          <w:position w:val="0"/>
          <w:shd w:val="clear" w:color="auto" w:fill="auto"/>
          <w:lang w:val="en-US" w:eastAsia="en-US" w:bidi="en-US"/>
        </w:rPr>
        <w:t xml:space="preserve"> is a name often applied to the members of the ancient Christian churches of southern India, which claim him as their first founder, and honour as their second founder a certain Thomas of Jerusalem, who is said to have led a Christian colony to Malabar in 345 </w:t>
      </w:r>
      <w:r>
        <w:rPr>
          <w:i w:val="0"/>
          <w:iCs w:val="0"/>
          <w:smallCaps/>
          <w:color w:val="000000"/>
          <w:spacing w:val="0"/>
          <w:w w:val="100"/>
          <w:position w:val="0"/>
          <w:shd w:val="clear" w:color="auto" w:fill="auto"/>
          <w:lang w:val="en-US" w:eastAsia="en-US" w:bidi="en-US"/>
        </w:rPr>
        <w:t>a.D.@@</w:t>
      </w:r>
      <w:r>
        <w:rPr>
          <w:i w:val="0"/>
          <w:iCs w:val="0"/>
          <w:smallCaps/>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According to their tradition, St Thomas went from Malabar to Mylapur, now a suburb of Madras, where the shrine of his martyrdom, rebuilt by the Portuguese in 1547, still stands on Mount St Thomas, and where a miraculous cross is shown with a Pahlavi inscription which may be as old as the end of the 7th century. We know from Cosmas Indopleustes that there were Christian churches of Persian (East-Syrian) origin, and doubtless of Nestorian creed, in Ceylon, in Malabar, and at Caliana (north of Bombay) before the middle of the 6th century, and even then St Thomas, the reputed apostle of Persia, may have been their special saint. The ancient churches of southern India never died out or wholly lost their sense of con</w:t>
        <w:softHyphen/>
        <w:t xml:space="preserve">nexion with their mother church, for we find them sending deputies in 1490 to the Nestorian patriarch Simeon, who furnished them with bishops (Assemani, </w:t>
      </w:r>
      <w:r>
        <w:rPr>
          <w:color w:val="000000"/>
          <w:spacing w:val="0"/>
          <w:w w:val="100"/>
          <w:position w:val="0"/>
          <w:shd w:val="clear" w:color="auto" w:fill="auto"/>
          <w:lang w:val="en-US" w:eastAsia="en-US" w:bidi="en-US"/>
        </w:rPr>
        <w:t>Bib. Or.,</w:t>
      </w:r>
      <w:r>
        <w:rPr>
          <w:i w:val="0"/>
          <w:iCs w:val="0"/>
          <w:color w:val="000000"/>
          <w:spacing w:val="0"/>
          <w:w w:val="100"/>
          <w:position w:val="0"/>
          <w:shd w:val="clear" w:color="auto" w:fill="auto"/>
          <w:lang w:val="en-US" w:eastAsia="en-US" w:bidi="en-US"/>
        </w:rPr>
        <w:t xml:space="preserve"> iii. 1, 590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Hard pressed by the Moslems, they welcomed the approach of the Portuguese, but proved by no means tractable to efforts to bring them within the Roman obedience. At length a formal union with Rome was carried through in the synod of Diamper (1599). Syriac was to remain the ecclesiastical language, but the service books were corrected and purified from error. A century and a half of foreign Jesuit rule followed, but the love of independence was not lost. A great schism took place in 1653, and of 200,000 Christians of St Thomas only 400 remained loyal to Rome, though many of their churches were soon won back by the Carmelites. Those who remained independent fell under the influence of the Jacobite Mar Gregorius, styled patriarch of Jerusalem, who reached Malabar in 1665 as an emissary from Ignatius, patriarch of Antioch. From his time the independent Christians have been Jacobites, the counter-efforts of the Nestorians under Mar Gabriel, bishop of Adharbaijan, having apparently come to nothing after his death in 1730. Since the visit of Claudius Buchanan, whose </w:t>
      </w:r>
      <w:r>
        <w:rPr>
          <w:color w:val="000000"/>
          <w:spacing w:val="0"/>
          <w:w w:val="100"/>
          <w:position w:val="0"/>
          <w:shd w:val="clear" w:color="auto" w:fill="auto"/>
          <w:lang w:val="en-US" w:eastAsia="en-US" w:bidi="en-US"/>
        </w:rPr>
        <w:t>Christian Re</w:t>
        <w:softHyphen/>
        <w:t>searches in Asia</w:t>
      </w:r>
      <w:r>
        <w:rPr>
          <w:i w:val="0"/>
          <w:iCs w:val="0"/>
          <w:color w:val="000000"/>
          <w:spacing w:val="0"/>
          <w:w w:val="100"/>
          <w:position w:val="0"/>
          <w:shd w:val="clear" w:color="auto" w:fill="auto"/>
          <w:lang w:val="en-US" w:eastAsia="en-US" w:bidi="en-US"/>
        </w:rPr>
        <w:t xml:space="preserve"> (1811) excited great interest, much has been done for the Christians of South India by English missionary effort, and Anglicans have cultivated friendly relations with the clergy of the independent native church, while discouraging dependence on the Jacobite patriarch of Antioch.</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A valuable though tedious and ill-arranged history of the Christians of St Thomas has been written by W. </w:t>
      </w:r>
      <w:r>
        <w:rPr>
          <w:color w:val="000000"/>
          <w:spacing w:val="0"/>
          <w:w w:val="100"/>
          <w:position w:val="0"/>
          <w:shd w:val="clear" w:color="auto" w:fill="auto"/>
          <w:lang w:val="de-DE" w:eastAsia="de-DE" w:bidi="de-DE"/>
        </w:rPr>
        <w:t xml:space="preserve">Germann,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Kirche der </w:t>
      </w:r>
      <w:r>
        <w:rPr>
          <w:i/>
          <w:iCs/>
          <w:color w:val="000000"/>
          <w:spacing w:val="0"/>
          <w:w w:val="100"/>
          <w:position w:val="0"/>
          <w:shd w:val="clear" w:color="auto" w:fill="auto"/>
          <w:lang w:val="en-US" w:eastAsia="en-US" w:bidi="en-US"/>
        </w:rPr>
        <w:t xml:space="preserve">Thοmaschristen, </w:t>
      </w:r>
      <w:r>
        <w:rPr>
          <w:color w:val="000000"/>
          <w:spacing w:val="0"/>
          <w:w w:val="100"/>
          <w:position w:val="0"/>
          <w:shd w:val="clear" w:color="auto" w:fill="auto"/>
          <w:lang w:val="de-DE" w:eastAsia="de-DE" w:bidi="de-DE"/>
        </w:rPr>
        <w:t xml:space="preserve">Gütersloh, </w:t>
      </w:r>
      <w:r>
        <w:rPr>
          <w:color w:val="000000"/>
          <w:spacing w:val="0"/>
          <w:w w:val="100"/>
          <w:position w:val="0"/>
          <w:shd w:val="clear" w:color="auto" w:fill="auto"/>
          <w:lang w:val="en-US" w:eastAsia="en-US" w:bidi="en-US"/>
        </w:rPr>
        <w:t xml:space="preserve">1877. See also La Croze, </w:t>
      </w:r>
      <w:r>
        <w:rPr>
          <w:i/>
          <w:iCs/>
          <w:color w:val="000000"/>
          <w:spacing w:val="0"/>
          <w:w w:val="100"/>
          <w:position w:val="0"/>
          <w:shd w:val="clear" w:color="auto" w:fill="auto"/>
          <w:lang w:val="fr-FR" w:eastAsia="fr-FR" w:bidi="fr-FR"/>
        </w:rPr>
        <w:t xml:space="preserve">Histoire du Christianisme </w:t>
      </w:r>
      <w:r>
        <w:rPr>
          <w:i/>
          <w:iCs/>
          <w:color w:val="000000"/>
          <w:spacing w:val="0"/>
          <w:w w:val="100"/>
          <w:position w:val="0"/>
          <w:shd w:val="clear" w:color="auto" w:fill="auto"/>
          <w:lang w:val="de-DE" w:eastAsia="de-DE" w:bidi="de-DE"/>
        </w:rPr>
        <w:t>des Indes,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Hague, 1724; Alexius de Menezes, </w:t>
      </w:r>
      <w:r>
        <w:rPr>
          <w:i/>
          <w:iCs/>
          <w:color w:val="000000"/>
          <w:spacing w:val="0"/>
          <w:w w:val="100"/>
          <w:position w:val="0"/>
          <w:shd w:val="clear" w:color="auto" w:fill="auto"/>
          <w:lang w:val="en-US" w:eastAsia="en-US" w:bidi="en-US"/>
        </w:rPr>
        <w:t xml:space="preserve">Historia </w:t>
      </w:r>
      <w:r>
        <w:rPr>
          <w:i/>
          <w:iCs/>
          <w:color w:val="000000"/>
          <w:spacing w:val="0"/>
          <w:w w:val="100"/>
          <w:position w:val="0"/>
          <w:shd w:val="clear" w:color="auto" w:fill="auto"/>
          <w:lang w:val="fr-FR" w:eastAsia="fr-FR" w:bidi="fr-FR"/>
        </w:rPr>
        <w:t>Ecclesiæ Malabaricæ,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Latin by F. Raulin, Rome, 1745 (especially for the synod of Diamper) ; Paulinus a S. Bar- </w:t>
      </w:r>
      <w:r>
        <w:rPr>
          <w:color w:val="000000"/>
          <w:spacing w:val="0"/>
          <w:w w:val="100"/>
          <w:position w:val="0"/>
          <w:shd w:val="clear" w:color="auto" w:fill="auto"/>
          <w:lang w:val="fr-FR" w:eastAsia="fr-FR" w:bidi="fr-FR"/>
        </w:rPr>
        <w:t xml:space="preserve">tholomæo, </w:t>
      </w:r>
      <w:r>
        <w:rPr>
          <w:i/>
          <w:iCs/>
          <w:color w:val="000000"/>
          <w:spacing w:val="0"/>
          <w:w w:val="100"/>
          <w:position w:val="0"/>
          <w:shd w:val="clear" w:color="auto" w:fill="auto"/>
          <w:lang w:val="en-US" w:eastAsia="en-US" w:bidi="en-US"/>
        </w:rPr>
        <w:t>India O</w:t>
      </w:r>
      <w:r>
        <w:rPr>
          <w:i/>
          <w:iCs/>
          <w:color w:val="000000"/>
          <w:spacing w:val="0"/>
          <w:w w:val="100"/>
          <w:position w:val="0"/>
          <w:shd w:val="clear" w:color="auto" w:fill="auto"/>
          <w:lang w:val="la-001" w:eastAsia="la-001" w:bidi="la-001"/>
        </w:rPr>
        <w:t xml:space="preserve">rientalis </w:t>
      </w:r>
      <w:r>
        <w:rPr>
          <w:i/>
          <w:iCs/>
          <w:color w:val="000000"/>
          <w:spacing w:val="0"/>
          <w:w w:val="100"/>
          <w:position w:val="0"/>
          <w:shd w:val="clear" w:color="auto" w:fill="auto"/>
          <w:lang w:val="en-US" w:eastAsia="en-US" w:bidi="en-US"/>
        </w:rPr>
        <w:t>Christiana,</w:t>
      </w:r>
      <w:r>
        <w:rPr>
          <w:color w:val="000000"/>
          <w:spacing w:val="0"/>
          <w:w w:val="100"/>
          <w:position w:val="0"/>
          <w:shd w:val="clear" w:color="auto" w:fill="auto"/>
          <w:lang w:val="en-US" w:eastAsia="en-US" w:bidi="en-US"/>
        </w:rPr>
        <w:t xml:space="preserve"> 4to, Rome, 1794.</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w:t>
      </w:r>
      <w:r>
        <w:rPr>
          <w:smallCaps/>
          <w:color w:val="000000"/>
          <w:spacing w:val="0"/>
          <w:w w:val="100"/>
          <w:position w:val="0"/>
          <w:shd w:val="clear" w:color="auto" w:fill="auto"/>
          <w:lang w:val="en-US" w:eastAsia="en-US" w:bidi="en-US"/>
        </w:rPr>
        <w:t>St, of Aquino.</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 xml:space="preserve">Aquinas. </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BECKET, or </w:t>
      </w:r>
      <w:r>
        <w:rPr>
          <w:color w:val="000000"/>
          <w:spacing w:val="0"/>
          <w:w w:val="100"/>
          <w:position w:val="0"/>
          <w:shd w:val="clear" w:color="auto" w:fill="auto"/>
          <w:lang w:val="fr-FR" w:eastAsia="fr-FR" w:bidi="fr-FR"/>
        </w:rPr>
        <w:t xml:space="preserve">À </w:t>
      </w:r>
      <w:r>
        <w:rPr>
          <w:smallCaps/>
          <w:color w:val="000000"/>
          <w:spacing w:val="0"/>
          <w:w w:val="100"/>
          <w:position w:val="0"/>
          <w:shd w:val="clear" w:color="auto" w:fill="auto"/>
          <w:lang w:val="en-US" w:eastAsia="en-US" w:bidi="en-US"/>
        </w:rPr>
        <w:t>Becket.</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À </w:t>
      </w:r>
      <w:r>
        <w:rPr>
          <w:smallCaps/>
          <w:color w:val="000000"/>
          <w:spacing w:val="0"/>
          <w:w w:val="100"/>
          <w:position w:val="0"/>
          <w:shd w:val="clear" w:color="auto" w:fill="auto"/>
          <w:lang w:val="en-US" w:eastAsia="en-US" w:bidi="en-US"/>
        </w:rPr>
        <w:t>Becket.</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w:t>
      </w:r>
      <w:r>
        <w:rPr>
          <w:smallCap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de-DE" w:eastAsia="de-DE" w:bidi="de-DE"/>
        </w:rPr>
        <w:t>Celano,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contemporary and supposed biographer of Francis of Assisi, was born probably towards the end of the 12th century, and died about 1255. He derives his surname from </w:t>
      </w:r>
      <w:r>
        <w:rPr>
          <w:smallCaps/>
          <w:color w:val="000000"/>
          <w:spacing w:val="0"/>
          <w:w w:val="100"/>
          <w:position w:val="0"/>
          <w:shd w:val="clear" w:color="auto" w:fill="auto"/>
          <w:lang w:val="de-DE" w:eastAsia="de-DE" w:bidi="de-DE"/>
        </w:rPr>
        <w:t xml:space="preserve">Celano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the Abruzzo </w:t>
      </w:r>
      <w:r>
        <w:rPr>
          <w:color w:val="000000"/>
          <w:spacing w:val="0"/>
          <w:w w:val="100"/>
          <w:position w:val="0"/>
          <w:shd w:val="clear" w:color="auto" w:fill="auto"/>
          <w:lang w:val="la-001" w:eastAsia="la-001" w:bidi="la-001"/>
        </w:rPr>
        <w:t xml:space="preserve">Ulteriore. </w:t>
      </w:r>
      <w:r>
        <w:rPr>
          <w:color w:val="000000"/>
          <w:spacing w:val="0"/>
          <w:w w:val="100"/>
          <w:position w:val="0"/>
          <w:shd w:val="clear" w:color="auto" w:fill="auto"/>
          <w:lang w:val="en-US" w:eastAsia="en-US" w:bidi="en-US"/>
        </w:rPr>
        <w:t xml:space="preserve">His name does not occur among those of the earliest disciples of Francis, but he is recorded by some historians of the order, though not by all, to have held the office of </w:t>
      </w:r>
      <w:r>
        <w:rPr>
          <w:color w:val="000000"/>
          <w:spacing w:val="0"/>
          <w:w w:val="100"/>
          <w:position w:val="0"/>
          <w:shd w:val="clear" w:color="auto" w:fill="auto"/>
          <w:lang w:val="la-001" w:eastAsia="la-001" w:bidi="la-001"/>
        </w:rPr>
        <w:t xml:space="preserve">custos </w:t>
      </w:r>
      <w:r>
        <w:rPr>
          <w:color w:val="000000"/>
          <w:spacing w:val="0"/>
          <w:w w:val="100"/>
          <w:position w:val="0"/>
          <w:shd w:val="clear" w:color="auto" w:fill="auto"/>
          <w:lang w:val="en-US" w:eastAsia="en-US" w:bidi="en-US"/>
        </w:rPr>
        <w:t xml:space="preserve">in various Franciscan houses (Cologne, Mainz, Worms, Spires) from 1221 onwards. An old biography of Francis, which is incorporated in the </w:t>
      </w:r>
      <w:r>
        <w:rPr>
          <w:i/>
          <w:iCs/>
          <w:color w:val="000000"/>
          <w:spacing w:val="0"/>
          <w:w w:val="100"/>
          <w:position w:val="0"/>
          <w:shd w:val="clear" w:color="auto" w:fill="auto"/>
          <w:lang w:val="en-US" w:eastAsia="en-US" w:bidi="en-US"/>
        </w:rPr>
        <w:t>Acta Sanctorum,</w:t>
      </w:r>
      <w:r>
        <w:rPr>
          <w:color w:val="000000"/>
          <w:spacing w:val="0"/>
          <w:w w:val="100"/>
          <w:position w:val="0"/>
          <w:shd w:val="clear" w:color="auto" w:fill="auto"/>
          <w:lang w:val="en-US" w:eastAsia="en-US" w:bidi="en-US"/>
        </w:rPr>
        <w:t xml:space="preserve"> is attributed to Thomas with much probability, and nothing cogent has been urged against his authorship of the </w:t>
      </w:r>
      <w:r>
        <w:rPr>
          <w:i/>
          <w:iCs/>
          <w:color w:val="000000"/>
          <w:spacing w:val="0"/>
          <w:w w:val="100"/>
          <w:position w:val="0"/>
          <w:shd w:val="clear" w:color="auto" w:fill="auto"/>
          <w:lang w:val="en-US" w:eastAsia="en-US" w:bidi="en-US"/>
        </w:rPr>
        <w:t xml:space="preserve">Dies </w:t>
      </w:r>
      <w:r>
        <w:rPr>
          <w:i/>
          <w:iCs/>
          <w:color w:val="000000"/>
          <w:spacing w:val="0"/>
          <w:w w:val="100"/>
          <w:position w:val="0"/>
          <w:shd w:val="clear" w:color="auto" w:fill="auto"/>
          <w:lang w:val="fr-FR" w:eastAsia="fr-FR" w:bidi="fr-FR"/>
        </w:rPr>
        <w:t>Iræ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Hymns,</w:t>
      </w:r>
      <w:r>
        <w:rPr>
          <w:color w:val="000000"/>
          <w:spacing w:val="0"/>
          <w:w w:val="100"/>
          <w:position w:val="0"/>
          <w:shd w:val="clear" w:color="auto" w:fill="auto"/>
          <w:lang w:val="en-US" w:eastAsia="en-US" w:bidi="en-US"/>
        </w:rPr>
        <w:t xml:space="preserve"> vol. xii. p. 583), although, so far as is at present known, his name is not associated with that re</w:t>
        <w:softHyphen/>
        <w:t>markable poem by any writer earlier than 1385.</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THOMAS </w:t>
      </w:r>
      <w:r>
        <w:rPr>
          <w:smallCaps/>
          <w:color w:val="000000"/>
          <w:spacing w:val="0"/>
          <w:w w:val="100"/>
          <w:position w:val="0"/>
          <w:shd w:val="clear" w:color="auto" w:fill="auto"/>
          <w:lang w:val="en-US" w:eastAsia="en-US" w:bidi="en-US"/>
        </w:rPr>
        <w:t>of Erceldoune,</w:t>
      </w:r>
      <w:r>
        <w:rPr>
          <w:color w:val="000000"/>
          <w:spacing w:val="0"/>
          <w:w w:val="100"/>
          <w:position w:val="0"/>
          <w:shd w:val="clear" w:color="auto" w:fill="auto"/>
          <w:lang w:val="en-US" w:eastAsia="en-US" w:bidi="en-US"/>
        </w:rPr>
        <w:t xml:space="preserve"> called also the </w:t>
      </w:r>
      <w:r>
        <w:rPr>
          <w:smallCaps/>
          <w:color w:val="000000"/>
          <w:spacing w:val="0"/>
          <w:w w:val="100"/>
          <w:position w:val="0"/>
          <w:shd w:val="clear" w:color="auto" w:fill="auto"/>
          <w:lang w:val="en-US" w:eastAsia="en-US" w:bidi="en-US"/>
        </w:rPr>
        <w:t xml:space="preserve">Rhymer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1225-c. 1300), occupies a prominent place as a poet and prophet in the mythical and legendary literature of Scot</w:t>
        <w:softHyphen/>
        <w:t>land. The historical person of that name figures in two charters of the 13th century, and from these it appears that he owned lands in Erceldoune (now Earlston), in Berwickshire, which were made over by his son and heir to the cloister of the Holy Trinity at Soltra, or Soutra, 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the sketch in Syriac of the history of the church of Malabar printed and translated by Land, </w:t>
      </w:r>
      <w:r>
        <w:rPr>
          <w:color w:val="000000"/>
          <w:spacing w:val="0"/>
          <w:w w:val="100"/>
          <w:position w:val="0"/>
          <w:shd w:val="clear" w:color="auto" w:fill="auto"/>
          <w:lang w:val="en-US" w:eastAsia="en-US" w:bidi="en-US"/>
        </w:rPr>
        <w:t>Anecd. Syr.,</w:t>
      </w:r>
      <w:r>
        <w:rPr>
          <w:i w:val="0"/>
          <w:iCs w:val="0"/>
          <w:color w:val="000000"/>
          <w:spacing w:val="0"/>
          <w:w w:val="100"/>
          <w:position w:val="0"/>
          <w:shd w:val="clear" w:color="auto" w:fill="auto"/>
          <w:lang w:val="en-US" w:eastAsia="en-US" w:bidi="en-US"/>
        </w:rPr>
        <w:t xml:space="preserve"> i. 24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It was sent to Schaaf at Leyden in 1720 by Mar Gabriel, the last Nestorian bishop in Malabar (see </w:t>
      </w:r>
      <w:r>
        <w:rPr>
          <w:i w:val="0"/>
          <w:iCs w:val="0"/>
          <w:color w:val="000000"/>
          <w:spacing w:val="0"/>
          <w:w w:val="100"/>
          <w:position w:val="0"/>
          <w:shd w:val="clear" w:color="auto" w:fill="auto"/>
          <w:lang w:val="de-DE" w:eastAsia="de-DE" w:bidi="de-DE"/>
        </w:rPr>
        <w:t xml:space="preserve">Germann, </w:t>
      </w:r>
      <w:r>
        <w:rPr>
          <w:i w:val="0"/>
          <w:iCs w:val="0"/>
          <w:color w:val="000000"/>
          <w:spacing w:val="0"/>
          <w:w w:val="100"/>
          <w:position w:val="0"/>
          <w:shd w:val="clear" w:color="auto" w:fill="auto"/>
          <w:lang w:val="en-US" w:eastAsia="en-US" w:bidi="en-US"/>
        </w:rPr>
        <w:t>p. 542).</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