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smallCaps/>
          <w:color w:val="000000"/>
          <w:spacing w:val="0"/>
          <w:w w:val="100"/>
          <w:position w:val="0"/>
          <w:shd w:val="clear" w:color="auto" w:fill="auto"/>
          <w:lang w:val="en-US" w:eastAsia="en-US" w:bidi="en-US"/>
        </w:rPr>
        <w:t>a.d.)</w:t>
      </w:r>
      <w:r>
        <w:rPr>
          <w:i w:val="0"/>
          <w:iCs w:val="0"/>
          <w:color w:val="000000"/>
          <w:spacing w:val="0"/>
          <w:w w:val="100"/>
          <w:position w:val="0"/>
          <w:shd w:val="clear" w:color="auto" w:fill="auto"/>
          <w:lang w:val="en-US" w:eastAsia="en-US" w:bidi="en-US"/>
        </w:rPr>
        <w:t xml:space="preserve"> in his </w:t>
      </w:r>
      <w:r>
        <w:rPr>
          <w:color w:val="000000"/>
          <w:spacing w:val="0"/>
          <w:w w:val="100"/>
          <w:position w:val="0"/>
          <w:shd w:val="clear" w:color="auto" w:fill="auto"/>
          <w:lang w:val="en-US" w:eastAsia="en-US" w:bidi="en-US"/>
        </w:rPr>
        <w:t>Scholia.</w:t>
      </w:r>
      <w:r>
        <w:rPr>
          <w:i w:val="0"/>
          <w:iCs w:val="0"/>
          <w:color w:val="000000"/>
          <w:spacing w:val="0"/>
          <w:w w:val="100"/>
          <w:position w:val="0"/>
          <w:shd w:val="clear" w:color="auto" w:fill="auto"/>
          <w:lang w:val="en-US" w:eastAsia="en-US" w:bidi="en-US"/>
        </w:rPr>
        <w:t xml:space="preserve"> In the former passage Horace tells Albius to moderate his grief at the cruelty of </w:t>
      </w:r>
      <w:r>
        <w:rPr>
          <w:i w:val="0"/>
          <w:iCs w:val="0"/>
          <w:color w:val="000000"/>
          <w:spacing w:val="0"/>
          <w:w w:val="100"/>
          <w:position w:val="0"/>
          <w:shd w:val="clear" w:color="auto" w:fill="auto"/>
          <w:lang w:val="la-001" w:eastAsia="la-001" w:bidi="la-001"/>
        </w:rPr>
        <w:t xml:space="preserve">Glycera, </w:t>
      </w:r>
      <w:r>
        <w:rPr>
          <w:i w:val="0"/>
          <w:iCs w:val="0"/>
          <w:color w:val="000000"/>
          <w:spacing w:val="0"/>
          <w:w w:val="100"/>
          <w:position w:val="0"/>
          <w:shd w:val="clear" w:color="auto" w:fill="auto"/>
          <w:lang w:val="en-US" w:eastAsia="en-US" w:bidi="en-US"/>
        </w:rPr>
        <w:t xml:space="preserve">nor to descant in piteous elegies on her broken faith and the victory of a younger rival. It is clear that </w:t>
      </w:r>
      <w:r>
        <w:rPr>
          <w:i w:val="0"/>
          <w:iCs w:val="0"/>
          <w:color w:val="000000"/>
          <w:spacing w:val="0"/>
          <w:w w:val="100"/>
          <w:position w:val="0"/>
          <w:shd w:val="clear" w:color="auto" w:fill="auto"/>
          <w:lang w:val="la-001" w:eastAsia="la-001" w:bidi="la-001"/>
        </w:rPr>
        <w:t xml:space="preserve">Glycera </w:t>
      </w:r>
      <w:r>
        <w:rPr>
          <w:i w:val="0"/>
          <w:iCs w:val="0"/>
          <w:color w:val="000000"/>
          <w:spacing w:val="0"/>
          <w:w w:val="100"/>
          <w:position w:val="0"/>
          <w:shd w:val="clear" w:color="auto" w:fill="auto"/>
          <w:lang w:val="en-US" w:eastAsia="en-US" w:bidi="en-US"/>
        </w:rPr>
        <w:t xml:space="preserve">cannot be Nemesis ; for it is a pseudonym, as the context shows, and Horace would, of course, have used the same pseudonym as Tibullus. If, on the other hand, Nemesis were a real name, Horace had no occasion to use a pseudonym. It is possible that Tibullus had another mistress, </w:t>
      </w:r>
      <w:r>
        <w:rPr>
          <w:i w:val="0"/>
          <w:iCs w:val="0"/>
          <w:color w:val="000000"/>
          <w:spacing w:val="0"/>
          <w:w w:val="100"/>
          <w:position w:val="0"/>
          <w:shd w:val="clear" w:color="auto" w:fill="auto"/>
          <w:lang w:val="la-001" w:eastAsia="la-001" w:bidi="la-001"/>
        </w:rPr>
        <w:t xml:space="preserve">Glycera, </w:t>
      </w:r>
      <w:r>
        <w:rPr>
          <w:i w:val="0"/>
          <w:iCs w:val="0"/>
          <w:color w:val="000000"/>
          <w:spacing w:val="0"/>
          <w:w w:val="100"/>
          <w:position w:val="0"/>
          <w:shd w:val="clear" w:color="auto" w:fill="auto"/>
          <w:lang w:val="en-US" w:eastAsia="en-US" w:bidi="en-US"/>
        </w:rPr>
        <w:t xml:space="preserve">of whom we know nothing further, and that the </w:t>
      </w:r>
      <w:r>
        <w:rPr>
          <w:color w:val="000000"/>
          <w:spacing w:val="0"/>
          <w:w w:val="100"/>
          <w:position w:val="0"/>
          <w:shd w:val="clear" w:color="auto" w:fill="auto"/>
          <w:lang w:val="la-001" w:eastAsia="la-001" w:bidi="la-001"/>
        </w:rPr>
        <w:t>miserabiles elegi</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have perished ; but this is a mere supposition. The Albius of the epistle has an estate at Pedum, where Horace conjectures he may be musing or writing. He is handsome, rich, and knows how to enjoy life. He is wise and has the gift of speech, popularity, reputation, and good health </w:t>
      </w:r>
      <w:r>
        <w:rPr>
          <w:color w:val="000000"/>
          <w:spacing w:val="0"/>
          <w:w w:val="100"/>
          <w:position w:val="0"/>
          <w:shd w:val="clear" w:color="auto" w:fill="auto"/>
          <w:lang w:val="la-001" w:eastAsia="la-001" w:bidi="la-001"/>
        </w:rPr>
        <w:t>abunde,</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an enviable list of attributes, but certainly one which does not agree very well with what we know from elsewhere of Tibullus. The theory, then, that these passages refer to Albius Tibullus must be pronounced, with Baehrens, unproven ; and the </w:t>
      </w:r>
      <w:r>
        <w:rPr>
          <w:color w:val="000000"/>
          <w:spacing w:val="0"/>
          <w:w w:val="100"/>
          <w:position w:val="0"/>
          <w:shd w:val="clear" w:color="auto" w:fill="auto"/>
          <w:lang w:val="en-US" w:eastAsia="en-US" w:bidi="en-US"/>
        </w:rPr>
        <w:t>forma</w:t>
      </w:r>
      <w:r>
        <w:rPr>
          <w:i w:val="0"/>
          <w:iCs w:val="0"/>
          <w:color w:val="000000"/>
          <w:spacing w:val="0"/>
          <w:w w:val="100"/>
          <w:position w:val="0"/>
          <w:shd w:val="clear" w:color="auto" w:fill="auto"/>
          <w:lang w:val="en-US" w:eastAsia="en-US" w:bidi="en-US"/>
        </w:rPr>
        <w:t xml:space="preserve"> of Horace’s Albius must not be used, as Schulze uses it, to subvert the credit of the </w:t>
      </w:r>
      <w:r>
        <w:rPr>
          <w:color w:val="000000"/>
          <w:spacing w:val="0"/>
          <w:w w:val="100"/>
          <w:position w:val="0"/>
          <w:shd w:val="clear" w:color="auto" w:fill="auto"/>
          <w:lang w:val="la-001" w:eastAsia="la-001" w:bidi="la-001"/>
        </w:rPr>
        <w:t xml:space="preserve">insignis </w:t>
      </w:r>
      <w:r>
        <w:rPr>
          <w:color w:val="000000"/>
          <w:spacing w:val="0"/>
          <w:w w:val="100"/>
          <w:position w:val="0"/>
          <w:shd w:val="clear" w:color="auto" w:fill="auto"/>
          <w:lang w:val="en-US" w:eastAsia="en-US" w:bidi="en-US"/>
        </w:rPr>
        <w:t>forma</w:t>
      </w:r>
      <w:r>
        <w:rPr>
          <w:i w:val="0"/>
          <w:iCs w:val="0"/>
          <w:color w:val="000000"/>
          <w:spacing w:val="0"/>
          <w:w w:val="100"/>
          <w:position w:val="0"/>
          <w:shd w:val="clear" w:color="auto" w:fill="auto"/>
          <w:lang w:val="en-US" w:eastAsia="en-US" w:bidi="en-US"/>
        </w:rPr>
        <w:t xml:space="preserve"> of the </w:t>
      </w:r>
      <w:r>
        <w:rPr>
          <w:color w:val="000000"/>
          <w:spacing w:val="0"/>
          <w:w w:val="100"/>
          <w:position w:val="0"/>
          <w:shd w:val="clear" w:color="auto" w:fill="auto"/>
          <w:lang w:val="en-US" w:eastAsia="en-US" w:bidi="en-US"/>
        </w:rPr>
        <w:t>Life.—</w:t>
      </w:r>
      <w:r>
        <w:rPr>
          <w:i w:val="0"/>
          <w:iCs w:val="0"/>
          <w:color w:val="000000"/>
          <w:spacing w:val="0"/>
          <w:w w:val="100"/>
          <w:position w:val="0"/>
          <w:shd w:val="clear" w:color="auto" w:fill="auto"/>
          <w:lang w:val="en-US" w:eastAsia="en-US" w:bidi="en-US"/>
        </w:rPr>
        <w:t xml:space="preserve">Ovid, </w:t>
      </w:r>
      <w:r>
        <w:rPr>
          <w:color w:val="000000"/>
          <w:spacing w:val="0"/>
          <w:w w:val="100"/>
          <w:position w:val="0"/>
          <w:shd w:val="clear" w:color="auto" w:fill="auto"/>
          <w:lang w:val="en-US" w:eastAsia="en-US" w:bidi="en-US"/>
        </w:rPr>
        <w:t>Brisk,</w:t>
      </w:r>
      <w:r>
        <w:rPr>
          <w:i w:val="0"/>
          <w:iCs w:val="0"/>
          <w:color w:val="000000"/>
          <w:spacing w:val="0"/>
          <w:w w:val="100"/>
          <w:position w:val="0"/>
          <w:shd w:val="clear" w:color="auto" w:fill="auto"/>
          <w:lang w:val="en-US" w:eastAsia="en-US" w:bidi="en-US"/>
        </w:rPr>
        <w:t xml:space="preserve"> iv. 10, 53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“successor </w:t>
      </w:r>
      <w:r>
        <w:rPr>
          <w:i w:val="0"/>
          <w:iCs w:val="0"/>
          <w:color w:val="000000"/>
          <w:spacing w:val="0"/>
          <w:w w:val="100"/>
          <w:position w:val="0"/>
          <w:shd w:val="clear" w:color="auto" w:fill="auto"/>
          <w:lang w:val="fr-FR" w:eastAsia="fr-FR" w:bidi="fr-FR"/>
        </w:rPr>
        <w:t xml:space="preserve">fuit hic </w:t>
      </w:r>
      <w:r>
        <w:rPr>
          <w:i w:val="0"/>
          <w:iCs w:val="0"/>
          <w:color w:val="000000"/>
          <w:spacing w:val="0"/>
          <w:w w:val="100"/>
          <w:position w:val="0"/>
          <w:shd w:val="clear" w:color="auto" w:fill="auto"/>
          <w:lang w:val="en-US" w:eastAsia="en-US" w:bidi="en-US"/>
        </w:rPr>
        <w:t xml:space="preserve">[Tibullus] </w:t>
      </w:r>
      <w:r>
        <w:rPr>
          <w:i w:val="0"/>
          <w:iCs w:val="0"/>
          <w:color w:val="000000"/>
          <w:spacing w:val="0"/>
          <w:w w:val="100"/>
          <w:position w:val="0"/>
          <w:shd w:val="clear" w:color="auto" w:fill="auto"/>
          <w:lang w:val="de-DE" w:eastAsia="de-DE" w:bidi="de-DE"/>
        </w:rPr>
        <w:t xml:space="preserve">tibi, </w:t>
      </w:r>
      <w:r>
        <w:rPr>
          <w:i w:val="0"/>
          <w:iCs w:val="0"/>
          <w:color w:val="000000"/>
          <w:spacing w:val="0"/>
          <w:w w:val="100"/>
          <w:position w:val="0"/>
          <w:shd w:val="clear" w:color="auto" w:fill="auto"/>
          <w:lang w:val="fr-FR" w:eastAsia="fr-FR" w:bidi="fr-FR"/>
        </w:rPr>
        <w:t xml:space="preserve">Galle, </w:t>
      </w:r>
      <w:r>
        <w:rPr>
          <w:i w:val="0"/>
          <w:iCs w:val="0"/>
          <w:color w:val="000000"/>
          <w:spacing w:val="0"/>
          <w:w w:val="100"/>
          <w:position w:val="0"/>
          <w:shd w:val="clear" w:color="auto" w:fill="auto"/>
          <w:lang w:val="en-US" w:eastAsia="en-US" w:bidi="en-US"/>
        </w:rPr>
        <w:t xml:space="preserve">Propertius ilii, </w:t>
      </w:r>
      <w:r>
        <w:rPr>
          <w:i w:val="0"/>
          <w:iCs w:val="0"/>
          <w:color w:val="000000"/>
          <w:spacing w:val="0"/>
          <w:w w:val="100"/>
          <w:position w:val="0"/>
          <w:shd w:val="clear" w:color="auto" w:fill="auto"/>
          <w:lang w:val="la-001" w:eastAsia="la-001" w:bidi="la-001"/>
        </w:rPr>
        <w:t xml:space="preserve">quartus </w:t>
      </w:r>
      <w:r>
        <w:rPr>
          <w:i w:val="0"/>
          <w:iCs w:val="0"/>
          <w:color w:val="000000"/>
          <w:spacing w:val="0"/>
          <w:w w:val="100"/>
          <w:position w:val="0"/>
          <w:shd w:val="clear" w:color="auto" w:fill="auto"/>
          <w:lang w:val="de-DE" w:eastAsia="de-DE" w:bidi="de-DE"/>
        </w:rPr>
        <w:t xml:space="preserve">ab his </w:t>
      </w:r>
      <w:r>
        <w:rPr>
          <w:i w:val="0"/>
          <w:iCs w:val="0"/>
          <w:color w:val="000000"/>
          <w:spacing w:val="0"/>
          <w:w w:val="100"/>
          <w:position w:val="0"/>
          <w:shd w:val="clear" w:color="auto" w:fill="auto"/>
          <w:lang w:val="la-001" w:eastAsia="la-001" w:bidi="la-001"/>
        </w:rPr>
        <w:t xml:space="preserve">serie temporis ipse </w:t>
      </w:r>
      <w:r>
        <w:rPr>
          <w:i w:val="0"/>
          <w:iCs w:val="0"/>
          <w:color w:val="000000"/>
          <w:spacing w:val="0"/>
          <w:w w:val="100"/>
          <w:position w:val="0"/>
          <w:shd w:val="clear" w:color="auto" w:fill="auto"/>
          <w:lang w:val="fr-FR" w:eastAsia="fr-FR" w:bidi="fr-FR"/>
        </w:rPr>
        <w:t xml:space="preserve">fui.” </w:t>
      </w:r>
      <w:r>
        <w:rPr>
          <w:i w:val="0"/>
          <w:iCs w:val="0"/>
          <w:color w:val="000000"/>
          <w:spacing w:val="0"/>
          <w:w w:val="100"/>
          <w:position w:val="0"/>
          <w:shd w:val="clear" w:color="auto" w:fill="auto"/>
          <w:lang w:val="en-US" w:eastAsia="en-US" w:bidi="en-US"/>
        </w:rPr>
        <w:t xml:space="preserve">In the preceding couplet he had said, “ </w:t>
      </w:r>
      <w:r>
        <w:rPr>
          <w:i w:val="0"/>
          <w:iCs w:val="0"/>
          <w:color w:val="000000"/>
          <w:spacing w:val="0"/>
          <w:w w:val="100"/>
          <w:position w:val="0"/>
          <w:shd w:val="clear" w:color="auto" w:fill="auto"/>
          <w:lang w:val="la-001" w:eastAsia="la-001" w:bidi="la-001"/>
        </w:rPr>
        <w:t xml:space="preserve">Vergilium vidi tantum nec amara Tibullo tempus </w:t>
      </w:r>
      <w:r>
        <w:rPr>
          <w:i w:val="0"/>
          <w:iCs w:val="0"/>
          <w:color w:val="000000"/>
          <w:spacing w:val="0"/>
          <w:w w:val="100"/>
          <w:position w:val="0"/>
          <w:shd w:val="clear" w:color="auto" w:fill="auto"/>
          <w:lang w:val="fr-FR" w:eastAsia="fr-FR" w:bidi="fr-FR"/>
        </w:rPr>
        <w:t xml:space="preserve">amicitiæ </w:t>
      </w:r>
      <w:r>
        <w:rPr>
          <w:i w:val="0"/>
          <w:iCs w:val="0"/>
          <w:color w:val="000000"/>
          <w:spacing w:val="0"/>
          <w:w w:val="100"/>
          <w:position w:val="0"/>
          <w:shd w:val="clear" w:color="auto" w:fill="auto"/>
          <w:lang w:val="la-001" w:eastAsia="la-001" w:bidi="la-001"/>
        </w:rPr>
        <w:t xml:space="preserve">fata dedere </w:t>
      </w:r>
      <w:r>
        <w:rPr>
          <w:i w:val="0"/>
          <w:iCs w:val="0"/>
          <w:color w:val="000000"/>
          <w:spacing w:val="0"/>
          <w:w w:val="100"/>
          <w:position w:val="0"/>
          <w:shd w:val="clear" w:color="auto" w:fill="auto"/>
          <w:lang w:val="fr-FR" w:eastAsia="fr-FR" w:bidi="fr-FR"/>
        </w:rPr>
        <w:t xml:space="preserve">meæ.” </w:t>
      </w:r>
      <w:r>
        <w:rPr>
          <w:i w:val="0"/>
          <w:iCs w:val="0"/>
          <w:color w:val="000000"/>
          <w:spacing w:val="0"/>
          <w:w w:val="100"/>
          <w:position w:val="0"/>
          <w:shd w:val="clear" w:color="auto" w:fill="auto"/>
          <w:lang w:val="en-US" w:eastAsia="en-US" w:bidi="en-US"/>
        </w:rPr>
        <w:t xml:space="preserve">Ovid, who was born in 43, would be only twenty-four at Tibullus’s death if it occurred in 19.—The loss of Tibullus’s landed property is attested by himself (i. 1, 19 </w:t>
      </w:r>
      <w:r>
        <w:rPr>
          <w:color w:val="000000"/>
          <w:spacing w:val="0"/>
          <w:w w:val="100"/>
          <w:position w:val="0"/>
          <w:shd w:val="clear" w:color="auto" w:fill="auto"/>
          <w:lang w:val="la-001" w:eastAsia="la-001" w:bidi="la-001"/>
        </w:rPr>
        <w:t>sq.),</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“Vos </w:t>
      </w:r>
      <w:r>
        <w:rPr>
          <w:i w:val="0"/>
          <w:iCs w:val="0"/>
          <w:color w:val="000000"/>
          <w:spacing w:val="0"/>
          <w:w w:val="100"/>
          <w:position w:val="0"/>
          <w:shd w:val="clear" w:color="auto" w:fill="auto"/>
          <w:lang w:val="la-001" w:eastAsia="la-001" w:bidi="la-001"/>
        </w:rPr>
        <w:t xml:space="preserve">quoque felicis </w:t>
      </w:r>
      <w:r>
        <w:rPr>
          <w:i w:val="0"/>
          <w:iCs w:val="0"/>
          <w:color w:val="000000"/>
          <w:spacing w:val="0"/>
          <w:w w:val="100"/>
          <w:position w:val="0"/>
          <w:shd w:val="clear" w:color="auto" w:fill="auto"/>
          <w:lang w:val="en-US" w:eastAsia="en-US" w:bidi="en-US"/>
        </w:rPr>
        <w:t xml:space="preserve">quondam, nunc pauperis agri </w:t>
      </w:r>
      <w:r>
        <w:rPr>
          <w:i w:val="0"/>
          <w:iCs w:val="0"/>
          <w:color w:val="000000"/>
          <w:spacing w:val="0"/>
          <w:w w:val="100"/>
          <w:position w:val="0"/>
          <w:shd w:val="clear" w:color="auto" w:fill="auto"/>
          <w:lang w:val="la-001" w:eastAsia="la-001" w:bidi="la-001"/>
        </w:rPr>
        <w:t xml:space="preserve">custodes, fertis munera vestra, Lares. Tunc vitula innumeros lustrabat </w:t>
      </w:r>
      <w:r>
        <w:rPr>
          <w:i w:val="0"/>
          <w:iCs w:val="0"/>
          <w:color w:val="000000"/>
          <w:spacing w:val="0"/>
          <w:w w:val="100"/>
          <w:position w:val="0"/>
          <w:shd w:val="clear" w:color="auto" w:fill="auto"/>
          <w:lang w:val="fr-FR" w:eastAsia="fr-FR" w:bidi="fr-FR"/>
        </w:rPr>
        <w:t xml:space="preserve">cæsa </w:t>
      </w:r>
      <w:r>
        <w:rPr>
          <w:i w:val="0"/>
          <w:iCs w:val="0"/>
          <w:color w:val="000000"/>
          <w:spacing w:val="0"/>
          <w:w w:val="100"/>
          <w:position w:val="0"/>
          <w:shd w:val="clear" w:color="auto" w:fill="auto"/>
          <w:lang w:val="la-001" w:eastAsia="la-001" w:bidi="la-001"/>
        </w:rPr>
        <w:t xml:space="preserve">iuvencos ; nunc agna exigui est hostia parva soli” (comp. </w:t>
      </w:r>
      <w:r>
        <w:rPr>
          <w:i w:val="0"/>
          <w:iCs w:val="0"/>
          <w:color w:val="000000"/>
          <w:spacing w:val="0"/>
          <w:w w:val="100"/>
          <w:position w:val="0"/>
          <w:shd w:val="clear" w:color="auto" w:fill="auto"/>
          <w:lang w:val="en-US" w:eastAsia="en-US" w:bidi="en-US"/>
        </w:rPr>
        <w:t xml:space="preserve">41, 42). Its cause is only an inference, though a very probable one. That he was allowed to retain a portion of his estate with the family mansion is clear from ii. 4, 53, “Quin </w:t>
      </w:r>
      <w:r>
        <w:rPr>
          <w:i w:val="0"/>
          <w:iCs w:val="0"/>
          <w:color w:val="000000"/>
          <w:spacing w:val="0"/>
          <w:w w:val="100"/>
          <w:position w:val="0"/>
          <w:shd w:val="clear" w:color="auto" w:fill="auto"/>
          <w:lang w:val="la-001" w:eastAsia="la-001" w:bidi="la-001"/>
        </w:rPr>
        <w:t xml:space="preserve">etiam sedes </w:t>
      </w:r>
      <w:r>
        <w:rPr>
          <w:i w:val="0"/>
          <w:iCs w:val="0"/>
          <w:color w:val="000000"/>
          <w:spacing w:val="0"/>
          <w:w w:val="100"/>
          <w:position w:val="0"/>
          <w:shd w:val="clear" w:color="auto" w:fill="auto"/>
          <w:lang w:val="en-US" w:eastAsia="en-US" w:bidi="en-US"/>
        </w:rPr>
        <w:t xml:space="preserve">iubeat si </w:t>
      </w:r>
      <w:r>
        <w:rPr>
          <w:i w:val="0"/>
          <w:iCs w:val="0"/>
          <w:color w:val="000000"/>
          <w:spacing w:val="0"/>
          <w:w w:val="100"/>
          <w:position w:val="0"/>
          <w:shd w:val="clear" w:color="auto" w:fill="auto"/>
          <w:lang w:val="la-001" w:eastAsia="la-001" w:bidi="la-001"/>
        </w:rPr>
        <w:t xml:space="preserve">vendere avitas, ite </w:t>
      </w:r>
      <w:r>
        <w:rPr>
          <w:i w:val="0"/>
          <w:iCs w:val="0"/>
          <w:color w:val="000000"/>
          <w:spacing w:val="0"/>
          <w:w w:val="100"/>
          <w:position w:val="0"/>
          <w:shd w:val="clear" w:color="auto" w:fill="auto"/>
          <w:lang w:val="en-US" w:eastAsia="en-US" w:bidi="en-US"/>
        </w:rPr>
        <w:t xml:space="preserve">sub imperium sub titulum- que, Lares.” Compare the passages quoted above and </w:t>
      </w:r>
      <w:r>
        <w:rPr>
          <w:i w:val="0"/>
          <w:iCs w:val="0"/>
          <w:color w:val="000000"/>
          <w:spacing w:val="0"/>
          <w:w w:val="100"/>
          <w:position w:val="0"/>
          <w:shd w:val="clear" w:color="auto" w:fill="auto"/>
          <w:lang w:val="la-001" w:eastAsia="la-001" w:bidi="la-001"/>
        </w:rPr>
        <w:t xml:space="preserve">i. </w:t>
      </w:r>
      <w:r>
        <w:rPr>
          <w:i w:val="0"/>
          <w:iCs w:val="0"/>
          <w:color w:val="000000"/>
          <w:spacing w:val="0"/>
          <w:w w:val="100"/>
          <w:position w:val="0"/>
          <w:shd w:val="clear" w:color="auto" w:fill="auto"/>
          <w:lang w:val="en-US" w:eastAsia="en-US" w:bidi="en-US"/>
        </w:rPr>
        <w:t xml:space="preserve">1, 77, 78.— Messala composed epigrams (Plin., </w:t>
      </w:r>
      <w:r>
        <w:rPr>
          <w:color w:val="000000"/>
          <w:spacing w:val="0"/>
          <w:w w:val="100"/>
          <w:position w:val="0"/>
          <w:shd w:val="clear" w:color="auto" w:fill="auto"/>
          <w:lang w:val="en-US" w:eastAsia="en-US" w:bidi="en-US"/>
        </w:rPr>
        <w:t>Ep.,</w:t>
      </w:r>
      <w:r>
        <w:rPr>
          <w:i w:val="0"/>
          <w:iCs w:val="0"/>
          <w:color w:val="000000"/>
          <w:spacing w:val="0"/>
          <w:w w:val="100"/>
          <w:position w:val="0"/>
          <w:shd w:val="clear" w:color="auto" w:fill="auto"/>
          <w:lang w:val="en-US" w:eastAsia="en-US" w:bidi="en-US"/>
        </w:rPr>
        <w:t xml:space="preserve"> v. 3) and bucolic poems (comp. the pseudo-Virgilian </w:t>
      </w:r>
      <w:r>
        <w:rPr>
          <w:color w:val="000000"/>
          <w:spacing w:val="0"/>
          <w:w w:val="100"/>
          <w:position w:val="0"/>
          <w:shd w:val="clear" w:color="auto" w:fill="auto"/>
          <w:lang w:val="en-US" w:eastAsia="en-US" w:bidi="en-US"/>
        </w:rPr>
        <w:t>Catalepton,</w:t>
      </w:r>
      <w:r>
        <w:rPr>
          <w:i w:val="0"/>
          <w:iCs w:val="0"/>
          <w:color w:val="000000"/>
          <w:spacing w:val="0"/>
          <w:w w:val="100"/>
          <w:position w:val="0"/>
          <w:shd w:val="clear" w:color="auto" w:fill="auto"/>
          <w:lang w:val="en-US" w:eastAsia="en-US" w:bidi="en-US"/>
        </w:rPr>
        <w:t xml:space="preserve"> ii.) ; but he was more con</w:t>
        <w:softHyphen/>
        <w:t xml:space="preserve">spicuous as a patron than as a poet. On his circle and that of </w:t>
      </w:r>
      <w:r>
        <w:rPr>
          <w:i w:val="0"/>
          <w:iCs w:val="0"/>
          <w:color w:val="000000"/>
          <w:spacing w:val="0"/>
          <w:w w:val="100"/>
          <w:position w:val="0"/>
          <w:shd w:val="clear" w:color="auto" w:fill="auto"/>
          <w:lang w:val="fr-FR" w:eastAsia="fr-FR" w:bidi="fr-FR"/>
        </w:rPr>
        <w:t xml:space="preserve">Mæcenas, </w:t>
      </w:r>
      <w:r>
        <w:rPr>
          <w:i w:val="0"/>
          <w:iCs w:val="0"/>
          <w:color w:val="000000"/>
          <w:spacing w:val="0"/>
          <w:w w:val="100"/>
          <w:position w:val="0"/>
          <w:shd w:val="clear" w:color="auto" w:fill="auto"/>
          <w:lang w:val="en-US" w:eastAsia="en-US" w:bidi="en-US"/>
        </w:rPr>
        <w:t xml:space="preserve">see Teuffel, </w:t>
      </w:r>
      <w:r>
        <w:rPr>
          <w:color w:val="000000"/>
          <w:spacing w:val="0"/>
          <w:w w:val="100"/>
          <w:position w:val="0"/>
          <w:shd w:val="clear" w:color="auto" w:fill="auto"/>
          <w:lang w:val="en-US" w:eastAsia="en-US" w:bidi="en-US"/>
        </w:rPr>
        <w:t xml:space="preserve">Gesch. </w:t>
      </w:r>
      <w:r>
        <w:rPr>
          <w:color w:val="000000"/>
          <w:spacing w:val="0"/>
          <w:w w:val="100"/>
          <w:position w:val="0"/>
          <w:shd w:val="clear" w:color="auto" w:fill="auto"/>
          <w:lang w:val="de-DE" w:eastAsia="de-DE" w:bidi="de-DE"/>
        </w:rPr>
        <w:t>der römischen Literatur,</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4th ed., </w:t>
      </w:r>
      <w:r>
        <w:rPr>
          <w:i w:val="0"/>
          <w:iCs w:val="0"/>
          <w:color w:val="000000"/>
          <w:spacing w:val="0"/>
          <w:w w:val="100"/>
          <w:position w:val="0"/>
          <w:shd w:val="clear" w:color="auto" w:fill="auto"/>
          <w:lang w:val="fr-FR" w:eastAsia="fr-FR" w:bidi="fr-FR"/>
        </w:rPr>
        <w:t xml:space="preserve">p. </w:t>
      </w:r>
      <w:r>
        <w:rPr>
          <w:i w:val="0"/>
          <w:iCs w:val="0"/>
          <w:color w:val="000000"/>
          <w:spacing w:val="0"/>
          <w:w w:val="100"/>
          <w:position w:val="0"/>
          <w:shd w:val="clear" w:color="auto" w:fill="auto"/>
          <w:lang w:val="en-US" w:eastAsia="en-US" w:bidi="en-US"/>
        </w:rPr>
        <w:t xml:space="preserve">431 (vol. i. p. 389 of the Eng. transl.). Other members of the circle were Messala’s brother, </w:t>
      </w:r>
      <w:r>
        <w:rPr>
          <w:i w:val="0"/>
          <w:iCs w:val="0"/>
          <w:color w:val="000000"/>
          <w:spacing w:val="0"/>
          <w:w w:val="100"/>
          <w:position w:val="0"/>
          <w:shd w:val="clear" w:color="auto" w:fill="auto"/>
          <w:lang w:val="la-001" w:eastAsia="la-001" w:bidi="la-001"/>
        </w:rPr>
        <w:t xml:space="preserve">Pedius Publicola, </w:t>
      </w:r>
      <w:r>
        <w:rPr>
          <w:i w:val="0"/>
          <w:iCs w:val="0"/>
          <w:color w:val="000000"/>
          <w:spacing w:val="0"/>
          <w:w w:val="100"/>
          <w:position w:val="0"/>
          <w:shd w:val="clear" w:color="auto" w:fill="auto"/>
          <w:lang w:val="fr-FR" w:eastAsia="fr-FR" w:bidi="fr-FR"/>
        </w:rPr>
        <w:t xml:space="preserve">Æmilius </w:t>
      </w:r>
      <w:r>
        <w:rPr>
          <w:i w:val="0"/>
          <w:iCs w:val="0"/>
          <w:color w:val="000000"/>
          <w:spacing w:val="0"/>
          <w:w w:val="100"/>
          <w:position w:val="0"/>
          <w:shd w:val="clear" w:color="auto" w:fill="auto"/>
          <w:lang w:val="la-001" w:eastAsia="la-001" w:bidi="la-001"/>
        </w:rPr>
        <w:t xml:space="preserve">Macer </w:t>
      </w:r>
      <w:r>
        <w:rPr>
          <w:i w:val="0"/>
          <w:iCs w:val="0"/>
          <w:color w:val="000000"/>
          <w:spacing w:val="0"/>
          <w:w w:val="100"/>
          <w:position w:val="0"/>
          <w:shd w:val="clear" w:color="auto" w:fill="auto"/>
          <w:lang w:val="en-US" w:eastAsia="en-US" w:bidi="en-US"/>
        </w:rPr>
        <w:t xml:space="preserve">(probably the </w:t>
      </w:r>
      <w:r>
        <w:rPr>
          <w:i w:val="0"/>
          <w:iCs w:val="0"/>
          <w:color w:val="000000"/>
          <w:spacing w:val="0"/>
          <w:w w:val="100"/>
          <w:position w:val="0"/>
          <w:shd w:val="clear" w:color="auto" w:fill="auto"/>
          <w:lang w:val="la-001" w:eastAsia="la-001" w:bidi="la-001"/>
        </w:rPr>
        <w:t xml:space="preserve">Macer </w:t>
      </w:r>
      <w:r>
        <w:rPr>
          <w:i w:val="0"/>
          <w:iCs w:val="0"/>
          <w:color w:val="000000"/>
          <w:spacing w:val="0"/>
          <w:w w:val="100"/>
          <w:position w:val="0"/>
          <w:shd w:val="clear" w:color="auto" w:fill="auto"/>
          <w:lang w:val="en-US" w:eastAsia="en-US" w:bidi="en-US"/>
        </w:rPr>
        <w:t xml:space="preserve">addressed in ii. 6), </w:t>
      </w:r>
      <w:r>
        <w:rPr>
          <w:i w:val="0"/>
          <w:iCs w:val="0"/>
          <w:color w:val="000000"/>
          <w:spacing w:val="0"/>
          <w:w w:val="100"/>
          <w:position w:val="0"/>
          <w:shd w:val="clear" w:color="auto" w:fill="auto"/>
          <w:lang w:val="la-001" w:eastAsia="la-001" w:bidi="la-001"/>
        </w:rPr>
        <w:t xml:space="preserve">Valgius </w:t>
      </w:r>
      <w:r>
        <w:rPr>
          <w:i w:val="0"/>
          <w:iCs w:val="0"/>
          <w:color w:val="000000"/>
          <w:spacing w:val="0"/>
          <w:w w:val="100"/>
          <w:position w:val="0"/>
          <w:shd w:val="clear" w:color="auto" w:fill="auto"/>
          <w:lang w:val="en-US" w:eastAsia="en-US" w:bidi="en-US"/>
        </w:rPr>
        <w:t xml:space="preserve">Rufus, Lygdamus, </w:t>
      </w:r>
      <w:r>
        <w:rPr>
          <w:i w:val="0"/>
          <w:iCs w:val="0"/>
          <w:color w:val="000000"/>
          <w:spacing w:val="0"/>
          <w:w w:val="100"/>
          <w:position w:val="0"/>
          <w:shd w:val="clear" w:color="auto" w:fill="auto"/>
          <w:lang w:val="la-001" w:eastAsia="la-001" w:bidi="la-001"/>
        </w:rPr>
        <w:t xml:space="preserve">Sulpicia, </w:t>
      </w:r>
      <w:r>
        <w:rPr>
          <w:i w:val="0"/>
          <w:iCs w:val="0"/>
          <w:color w:val="000000"/>
          <w:spacing w:val="0"/>
          <w:w w:val="100"/>
          <w:position w:val="0"/>
          <w:shd w:val="clear" w:color="auto" w:fill="auto"/>
          <w:lang w:val="en-US" w:eastAsia="en-US" w:bidi="en-US"/>
        </w:rPr>
        <w:t xml:space="preserve">and others, and even Ovid to a certain extent (Ov., </w:t>
      </w:r>
      <w:r>
        <w:rPr>
          <w:color w:val="000000"/>
          <w:spacing w:val="0"/>
          <w:w w:val="100"/>
          <w:position w:val="0"/>
          <w:shd w:val="clear" w:color="auto" w:fill="auto"/>
          <w:lang w:val="en-US" w:eastAsia="en-US" w:bidi="en-US"/>
        </w:rPr>
        <w:t>Pont.</w:t>
      </w:r>
      <w:r>
        <w:rPr>
          <w:i w:val="0"/>
          <w:iCs w:val="0"/>
          <w:color w:val="000000"/>
          <w:spacing w:val="0"/>
          <w:w w:val="100"/>
          <w:position w:val="0"/>
          <w:shd w:val="clear" w:color="auto" w:fill="auto"/>
          <w:lang w:val="en-US" w:eastAsia="en-US" w:bidi="en-US"/>
        </w:rPr>
        <w:t xml:space="preserve">, i. 7, 28 </w:t>
      </w:r>
      <w:r>
        <w:rPr>
          <w:color w:val="000000"/>
          <w:spacing w:val="0"/>
          <w:w w:val="100"/>
          <w:position w:val="0"/>
          <w:shd w:val="clear" w:color="auto" w:fill="auto"/>
          <w:lang w:val="en-US" w:eastAsia="en-US" w:bidi="en-US"/>
        </w:rPr>
        <w:t xml:space="preserve">sq. ; </w:t>
      </w:r>
      <w:r>
        <w:rPr>
          <w:color w:val="000000"/>
          <w:spacing w:val="0"/>
          <w:w w:val="100"/>
          <w:position w:val="0"/>
          <w:shd w:val="clear" w:color="auto" w:fill="auto"/>
          <w:lang w:val="de-DE" w:eastAsia="de-DE" w:bidi="de-DE"/>
        </w:rPr>
        <w:t>Trist.</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iv. 4, 27 </w:t>
      </w:r>
      <w:r>
        <w:rPr>
          <w:color w:val="000000"/>
          <w:spacing w:val="0"/>
          <w:w w:val="100"/>
          <w:position w:val="0"/>
          <w:shd w:val="clear" w:color="auto" w:fill="auto"/>
          <w:lang w:val="en-US" w:eastAsia="en-US" w:bidi="en-US"/>
        </w:rPr>
        <w:t xml:space="preserve">sq. ). </w:t>
      </w:r>
      <w:r>
        <w:rPr>
          <w:i w:val="0"/>
          <w:iCs w:val="0"/>
          <w:color w:val="000000"/>
          <w:spacing w:val="0"/>
          <w:w w:val="100"/>
          <w:position w:val="0"/>
          <w:shd w:val="clear" w:color="auto" w:fill="auto"/>
          <w:lang w:val="en-US" w:eastAsia="en-US" w:bidi="en-US"/>
        </w:rPr>
        <w:t xml:space="preserve">Tibullus was Messala’s </w:t>
      </w:r>
      <w:r>
        <w:rPr>
          <w:color w:val="000000"/>
          <w:spacing w:val="0"/>
          <w:w w:val="100"/>
          <w:position w:val="0"/>
          <w:shd w:val="clear" w:color="auto" w:fill="auto"/>
          <w:lang w:val="la-001" w:eastAsia="la-001" w:bidi="la-001"/>
        </w:rPr>
        <w:t>contubernalis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in the Aquitanian war (</w:t>
      </w:r>
      <w:r>
        <w:rPr>
          <w:color w:val="000000"/>
          <w:spacing w:val="0"/>
          <w:w w:val="100"/>
          <w:position w:val="0"/>
          <w:shd w:val="clear" w:color="auto" w:fill="auto"/>
          <w:lang w:val="en-US" w:eastAsia="en-US" w:bidi="en-US"/>
        </w:rPr>
        <w:t>Vita Tib.</w:t>
      </w:r>
      <w:r>
        <w:rPr>
          <w:i w:val="0"/>
          <w:iCs w:val="0"/>
          <w:color w:val="000000"/>
          <w:spacing w:val="0"/>
          <w:w w:val="100"/>
          <w:position w:val="0"/>
          <w:shd w:val="clear" w:color="auto" w:fill="auto"/>
          <w:lang w:val="en-US" w:eastAsia="en-US" w:bidi="en-US"/>
        </w:rPr>
        <w:t xml:space="preserve"> and Tib., i. 7, 9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 poem com</w:t>
        <w:softHyphen/>
        <w:t xml:space="preserve">posed for Messala’s triumph). It should be stated that the date of the Aquitanian campaign is still undetermined. It has been assigned to 30, 29, and 28. He received </w:t>
      </w:r>
      <w:r>
        <w:rPr>
          <w:color w:val="000000"/>
          <w:spacing w:val="0"/>
          <w:w w:val="100"/>
          <w:position w:val="0"/>
          <w:shd w:val="clear" w:color="auto" w:fill="auto"/>
          <w:lang w:val="la-001" w:eastAsia="la-001" w:bidi="la-001"/>
        </w:rPr>
        <w:t xml:space="preserve">militaria </w:t>
      </w:r>
      <w:r>
        <w:rPr>
          <w:color w:val="000000"/>
          <w:spacing w:val="0"/>
          <w:w w:val="100"/>
          <w:position w:val="0"/>
          <w:shd w:val="clear" w:color="auto" w:fill="auto"/>
          <w:lang w:val="en-US" w:eastAsia="en-US" w:bidi="en-US"/>
        </w:rPr>
        <w:t xml:space="preserve">dona ( Vita) ; </w:t>
      </w:r>
      <w:r>
        <w:rPr>
          <w:i w:val="0"/>
          <w:iCs w:val="0"/>
          <w:color w:val="000000"/>
          <w:spacing w:val="0"/>
          <w:w w:val="100"/>
          <w:position w:val="0"/>
          <w:shd w:val="clear" w:color="auto" w:fill="auto"/>
          <w:lang w:val="en-US" w:eastAsia="en-US" w:bidi="en-US"/>
        </w:rPr>
        <w:t>Baehrens unkindly suggests it was for purely poetical services (</w:t>
      </w:r>
      <w:r>
        <w:rPr>
          <w:color w:val="000000"/>
          <w:spacing w:val="0"/>
          <w:w w:val="100"/>
          <w:position w:val="0"/>
          <w:shd w:val="clear" w:color="auto" w:fill="auto"/>
          <w:lang w:val="en-US" w:eastAsia="en-US" w:bidi="en-US"/>
        </w:rPr>
        <w:t>Tib. Bl.,</w:t>
      </w:r>
      <w:r>
        <w:rPr>
          <w:i w:val="0"/>
          <w:iCs w:val="0"/>
          <w:color w:val="000000"/>
          <w:spacing w:val="0"/>
          <w:w w:val="100"/>
          <w:position w:val="0"/>
          <w:shd w:val="clear" w:color="auto" w:fill="auto"/>
          <w:lang w:val="en-US" w:eastAsia="en-US" w:bidi="en-US"/>
        </w:rPr>
        <w:t xml:space="preserve"> p. 15). Tibullus’s dislike of war is always coming to the surface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i. 3 ; i. 10), and so also his love of quiet and retirement </w:t>
      </w:r>
      <w:r>
        <w:rPr>
          <w:i w:val="0"/>
          <w:iCs w:val="0"/>
          <w:color w:val="000000"/>
          <w:spacing w:val="0"/>
          <w:w w:val="100"/>
          <w:position w:val="0"/>
          <w:shd w:val="clear" w:color="auto" w:fill="auto"/>
          <w:lang w:val="la-001" w:eastAsia="la-001" w:bidi="la-001"/>
        </w:rPr>
        <w:t xml:space="preserve">(i. </w:t>
      </w:r>
      <w:r>
        <w:rPr>
          <w:i w:val="0"/>
          <w:iCs w:val="0"/>
          <w:color w:val="000000"/>
          <w:spacing w:val="0"/>
          <w:w w:val="100"/>
          <w:position w:val="0"/>
          <w:shd w:val="clear" w:color="auto" w:fill="auto"/>
          <w:lang w:val="en-US" w:eastAsia="en-US" w:bidi="en-US"/>
        </w:rPr>
        <w:t xml:space="preserve">1 ; ii. 1 ; 3, 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Apuleius (</w:t>
      </w:r>
      <w:r>
        <w:rPr>
          <w:color w:val="000000"/>
          <w:spacing w:val="0"/>
          <w:w w:val="100"/>
          <w:position w:val="0"/>
          <w:shd w:val="clear" w:color="auto" w:fill="auto"/>
          <w:lang w:val="en-US" w:eastAsia="en-US" w:bidi="en-US"/>
        </w:rPr>
        <w:t>Apol.,</w:t>
      </w:r>
      <w:r>
        <w:rPr>
          <w:i w:val="0"/>
          <w:iCs w:val="0"/>
          <w:color w:val="000000"/>
          <w:spacing w:val="0"/>
          <w:w w:val="100"/>
          <w:position w:val="0"/>
          <w:shd w:val="clear" w:color="auto" w:fill="auto"/>
          <w:lang w:val="en-US" w:eastAsia="en-US" w:bidi="en-US"/>
        </w:rPr>
        <w:t xml:space="preserve"> 10), </w:t>
      </w:r>
      <w:r>
        <w:rPr>
          <w:i w:val="0"/>
          <w:iCs w:val="0"/>
          <w:color w:val="000000"/>
          <w:spacing w:val="0"/>
          <w:w w:val="100"/>
          <w:position w:val="0"/>
          <w:shd w:val="clear" w:color="auto" w:fill="auto"/>
          <w:lang w:val="la-001" w:eastAsia="la-001" w:bidi="la-001"/>
        </w:rPr>
        <w:t xml:space="preserve">“accusent Tibullum </w:t>
      </w:r>
      <w:r>
        <w:rPr>
          <w:i w:val="0"/>
          <w:iCs w:val="0"/>
          <w:color w:val="000000"/>
          <w:spacing w:val="0"/>
          <w:w w:val="100"/>
          <w:position w:val="0"/>
          <w:shd w:val="clear" w:color="auto" w:fill="auto"/>
          <w:lang w:val="en-US" w:eastAsia="en-US" w:bidi="en-US"/>
        </w:rPr>
        <w:t xml:space="preserve">. . . quod ei sit Plania in </w:t>
      </w:r>
      <w:r>
        <w:rPr>
          <w:i w:val="0"/>
          <w:iCs w:val="0"/>
          <w:color w:val="000000"/>
          <w:spacing w:val="0"/>
          <w:w w:val="100"/>
          <w:position w:val="0"/>
          <w:shd w:val="clear" w:color="auto" w:fill="auto"/>
          <w:lang w:val="la-001" w:eastAsia="la-001" w:bidi="la-001"/>
        </w:rPr>
        <w:t xml:space="preserve">animo, </w:t>
      </w:r>
      <w:r>
        <w:rPr>
          <w:i w:val="0"/>
          <w:iCs w:val="0"/>
          <w:color w:val="000000"/>
          <w:spacing w:val="0"/>
          <w:w w:val="100"/>
          <w:position w:val="0"/>
          <w:shd w:val="clear" w:color="auto" w:fill="auto"/>
          <w:lang w:val="en-US" w:eastAsia="en-US" w:bidi="en-US"/>
        </w:rPr>
        <w:t xml:space="preserve">Delia in </w:t>
      </w:r>
      <w:r>
        <w:rPr>
          <w:i w:val="0"/>
          <w:iCs w:val="0"/>
          <w:color w:val="000000"/>
          <w:spacing w:val="0"/>
          <w:w w:val="100"/>
          <w:position w:val="0"/>
          <w:shd w:val="clear" w:color="auto" w:fill="auto"/>
          <w:lang w:val="la-001" w:eastAsia="la-001" w:bidi="la-001"/>
        </w:rPr>
        <w:t xml:space="preserve">versu </w:t>
      </w:r>
      <w:r>
        <w:rPr>
          <w:i w:val="0"/>
          <w:iCs w:val="0"/>
          <w:color w:val="000000"/>
          <w:spacing w:val="0"/>
          <w:w w:val="100"/>
          <w:position w:val="0"/>
          <w:shd w:val="clear" w:color="auto" w:fill="auto"/>
          <w:lang w:val="en-US" w:eastAsia="en-US" w:bidi="en-US"/>
        </w:rPr>
        <w:t>” ; this is the most probable form of the name, Delia (δ</w:t>
      </w:r>
      <w:r>
        <w:rPr>
          <w:i w:val="0"/>
          <w:iCs w:val="0"/>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 xml:space="preserve">λos) being a translation of Plania. As regards her station, it should be noticed that she was not entitled to wear the </w:t>
      </w:r>
      <w:r>
        <w:rPr>
          <w:color w:val="000000"/>
          <w:spacing w:val="0"/>
          <w:w w:val="100"/>
          <w:position w:val="0"/>
          <w:shd w:val="clear" w:color="auto" w:fill="auto"/>
          <w:lang w:val="la-001" w:eastAsia="la-001" w:bidi="la-001"/>
        </w:rPr>
        <w:t>stola,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the dress of Roman matrons (i. 6, 68). Her husband is mentioned as absent (i. 2, 67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She eludes the </w:t>
      </w:r>
      <w:r>
        <w:rPr>
          <w:i w:val="0"/>
          <w:iCs w:val="0"/>
          <w:color w:val="000000"/>
          <w:spacing w:val="0"/>
          <w:w w:val="100"/>
          <w:position w:val="0"/>
          <w:shd w:val="clear" w:color="auto" w:fill="auto"/>
          <w:lang w:val="la-001" w:eastAsia="la-001" w:bidi="la-001"/>
        </w:rPr>
        <w:t xml:space="preserve">custodes </w:t>
      </w:r>
      <w:r>
        <w:rPr>
          <w:i w:val="0"/>
          <w:iCs w:val="0"/>
          <w:color w:val="000000"/>
          <w:spacing w:val="0"/>
          <w:w w:val="100"/>
          <w:position w:val="0"/>
          <w:shd w:val="clear" w:color="auto" w:fill="auto"/>
          <w:lang w:val="en-US" w:eastAsia="en-US" w:bidi="en-US"/>
        </w:rPr>
        <w:t xml:space="preserve">placed over her (i. 2, 15, and 6, 7). Tibullus’s suit was favoured by Delia’s mother, of whom he speaks in very affectionate terms (i. 6, 57 </w:t>
      </w:r>
      <w:r>
        <w:rPr>
          <w:color w:val="000000"/>
          <w:spacing w:val="0"/>
          <w:w w:val="100"/>
          <w:position w:val="0"/>
          <w:shd w:val="clear" w:color="auto" w:fill="auto"/>
          <w:lang w:val="en-US" w:eastAsia="en-US" w:bidi="en-US"/>
        </w:rPr>
        <w:t xml:space="preserve">sq.). </w:t>
      </w:r>
      <w:r>
        <w:rPr>
          <w:i w:val="0"/>
          <w:iCs w:val="0"/>
          <w:color w:val="000000"/>
          <w:spacing w:val="0"/>
          <w:w w:val="100"/>
          <w:position w:val="0"/>
          <w:shd w:val="clear" w:color="auto" w:fill="auto"/>
          <w:lang w:val="en-US" w:eastAsia="en-US" w:bidi="en-US"/>
        </w:rPr>
        <w:t xml:space="preserve">For Tibullus’s illness at </w:t>
      </w:r>
      <w:r>
        <w:rPr>
          <w:i w:val="0"/>
          <w:iCs w:val="0"/>
          <w:color w:val="000000"/>
          <w:spacing w:val="0"/>
          <w:w w:val="100"/>
          <w:position w:val="0"/>
          <w:shd w:val="clear" w:color="auto" w:fill="auto"/>
          <w:lang w:val="la-001" w:eastAsia="la-001" w:bidi="la-001"/>
        </w:rPr>
        <w:t xml:space="preserve">Corcyra, </w:t>
      </w:r>
      <w:r>
        <w:rPr>
          <w:i w:val="0"/>
          <w:iCs w:val="0"/>
          <w:color w:val="000000"/>
          <w:spacing w:val="0"/>
          <w:w w:val="100"/>
          <w:position w:val="0"/>
          <w:shd w:val="clear" w:color="auto" w:fill="auto"/>
          <w:lang w:val="en-US" w:eastAsia="en-US" w:bidi="en-US"/>
        </w:rPr>
        <w:t xml:space="preserve">see i. 3, 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55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fifth elegy was written during estrangement (</w:t>
      </w:r>
      <w:r>
        <w:rPr>
          <w:color w:val="000000"/>
          <w:spacing w:val="0"/>
          <w:w w:val="100"/>
          <w:position w:val="0"/>
          <w:shd w:val="clear" w:color="auto" w:fill="auto"/>
          <w:lang w:val="la-001" w:eastAsia="la-001" w:bidi="la-001"/>
        </w:rPr>
        <w:t>discidium)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the sixth after the return of the husband and during Delia’s double infidelity. On the difficulty of “harmonizing” the Delia elegies, see F. Leo (in Kiessling and </w:t>
      </w:r>
      <w:r>
        <w:rPr>
          <w:i w:val="0"/>
          <w:iCs w:val="0"/>
          <w:color w:val="000000"/>
          <w:spacing w:val="0"/>
          <w:w w:val="100"/>
          <w:position w:val="0"/>
          <w:shd w:val="clear" w:color="auto" w:fill="auto"/>
          <w:lang w:val="de-DE" w:eastAsia="de-DE" w:bidi="de-DE"/>
        </w:rPr>
        <w:t xml:space="preserve">Wilamowitz-Möllendorf's </w:t>
      </w:r>
      <w:r>
        <w:rPr>
          <w:color w:val="000000"/>
          <w:spacing w:val="0"/>
          <w:w w:val="100"/>
          <w:position w:val="0"/>
          <w:shd w:val="clear" w:color="auto" w:fill="auto"/>
          <w:lang w:val="de-DE" w:eastAsia="de-DE" w:bidi="de-DE"/>
        </w:rPr>
        <w:t>Philol. Unters.,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ii. pp. 19-23), who is, however, too sceptical. Any other attachments that Tibullus formed (such as the supposed one for </w:t>
      </w:r>
      <w:r>
        <w:rPr>
          <w:i w:val="0"/>
          <w:iCs w:val="0"/>
          <w:color w:val="000000"/>
          <w:spacing w:val="0"/>
          <w:w w:val="100"/>
          <w:position w:val="0"/>
          <w:shd w:val="clear" w:color="auto" w:fill="auto"/>
          <w:lang w:val="la-001" w:eastAsia="la-001" w:bidi="la-001"/>
        </w:rPr>
        <w:t xml:space="preserve">Glycera) </w:t>
      </w:r>
      <w:r>
        <w:rPr>
          <w:i w:val="0"/>
          <w:iCs w:val="0"/>
          <w:color w:val="000000"/>
          <w:spacing w:val="0"/>
          <w:w w:val="100"/>
          <w:position w:val="0"/>
          <w:shd w:val="clear" w:color="auto" w:fill="auto"/>
          <w:lang w:val="en-US" w:eastAsia="en-US" w:bidi="en-US"/>
        </w:rPr>
        <w:t xml:space="preserve">must have fallen between the end of the Delia and the beginning of the Nemesis connexion.—Ovid, writing at the time of Tibullus’s death </w:t>
      </w:r>
      <w:r>
        <w:rPr>
          <w:color w:val="000000"/>
          <w:spacing w:val="0"/>
          <w:w w:val="100"/>
          <w:position w:val="0"/>
          <w:shd w:val="clear" w:color="auto" w:fill="auto"/>
          <w:lang w:val="en-US" w:eastAsia="en-US" w:bidi="en-US"/>
        </w:rPr>
        <w:t>{Am.,</w:t>
      </w:r>
      <w:r>
        <w:rPr>
          <w:i w:val="0"/>
          <w:iCs w:val="0"/>
          <w:color w:val="000000"/>
          <w:spacing w:val="0"/>
          <w:w w:val="100"/>
          <w:position w:val="0"/>
          <w:shd w:val="clear" w:color="auto" w:fill="auto"/>
          <w:lang w:val="en-US" w:eastAsia="en-US" w:bidi="en-US"/>
        </w:rPr>
        <w:t xml:space="preserve"> iii. 9, 31), says—“ Sic Nemesis </w:t>
      </w:r>
      <w:r>
        <w:rPr>
          <w:i w:val="0"/>
          <w:iCs w:val="0"/>
          <w:color w:val="000000"/>
          <w:spacing w:val="0"/>
          <w:w w:val="100"/>
          <w:position w:val="0"/>
          <w:shd w:val="clear" w:color="auto" w:fill="auto"/>
          <w:lang w:val="la-001" w:eastAsia="la-001" w:bidi="la-001"/>
        </w:rPr>
        <w:t xml:space="preserve">longum, </w:t>
      </w:r>
      <w:r>
        <w:rPr>
          <w:i w:val="0"/>
          <w:iCs w:val="0"/>
          <w:color w:val="000000"/>
          <w:spacing w:val="0"/>
          <w:w w:val="100"/>
          <w:position w:val="0"/>
          <w:shd w:val="clear" w:color="auto" w:fill="auto"/>
          <w:lang w:val="en-US" w:eastAsia="en-US" w:bidi="en-US"/>
        </w:rPr>
        <w:t xml:space="preserve">sic Delia, nomen </w:t>
      </w:r>
      <w:r>
        <w:rPr>
          <w:i w:val="0"/>
          <w:iCs w:val="0"/>
          <w:color w:val="000000"/>
          <w:spacing w:val="0"/>
          <w:w w:val="100"/>
          <w:position w:val="0"/>
          <w:shd w:val="clear" w:color="auto" w:fill="auto"/>
          <w:lang w:val="la-001" w:eastAsia="la-001" w:bidi="la-001"/>
        </w:rPr>
        <w:t>habe</w:t>
        <w:softHyphen/>
        <w:t xml:space="preserve">bunt, </w:t>
      </w:r>
      <w:r>
        <w:rPr>
          <w:i w:val="0"/>
          <w:iCs w:val="0"/>
          <w:color w:val="000000"/>
          <w:spacing w:val="0"/>
          <w:w w:val="100"/>
          <w:position w:val="0"/>
          <w:shd w:val="clear" w:color="auto" w:fill="auto"/>
          <w:lang w:val="en-US" w:eastAsia="en-US" w:bidi="en-US"/>
        </w:rPr>
        <w:t xml:space="preserve">altera </w:t>
      </w:r>
      <w:r>
        <w:rPr>
          <w:i w:val="0"/>
          <w:iCs w:val="0"/>
          <w:color w:val="000000"/>
          <w:spacing w:val="0"/>
          <w:w w:val="100"/>
          <w:position w:val="0"/>
          <w:shd w:val="clear" w:color="auto" w:fill="auto"/>
          <w:lang w:val="fr-FR" w:eastAsia="fr-FR" w:bidi="fr-FR"/>
        </w:rPr>
        <w:t xml:space="preserve">cura recens, </w:t>
      </w:r>
      <w:r>
        <w:rPr>
          <w:i w:val="0"/>
          <w:iCs w:val="0"/>
          <w:color w:val="000000"/>
          <w:spacing w:val="0"/>
          <w:w w:val="100"/>
          <w:position w:val="0"/>
          <w:shd w:val="clear" w:color="auto" w:fill="auto"/>
          <w:lang w:val="en-US" w:eastAsia="en-US" w:bidi="en-US"/>
        </w:rPr>
        <w:t>altera primus amor.” Nemesis is the sub</w:t>
        <w:softHyphen/>
        <w:t xml:space="preserve">ject of book ii. 3, 4, 6. The mention of a </w:t>
      </w:r>
      <w:r>
        <w:rPr>
          <w:color w:val="000000"/>
          <w:spacing w:val="0"/>
          <w:w w:val="100"/>
          <w:position w:val="0"/>
          <w:shd w:val="clear" w:color="auto" w:fill="auto"/>
          <w:lang w:val="en-US" w:eastAsia="en-US" w:bidi="en-US"/>
        </w:rPr>
        <w:t>lena</w:t>
      </w:r>
      <w:r>
        <w:rPr>
          <w:i w:val="0"/>
          <w:iCs w:val="0"/>
          <w:color w:val="000000"/>
          <w:spacing w:val="0"/>
          <w:w w:val="100"/>
          <w:position w:val="0"/>
          <w:shd w:val="clear" w:color="auto" w:fill="auto"/>
          <w:lang w:val="en-US" w:eastAsia="en-US" w:bidi="en-US"/>
        </w:rPr>
        <w:t xml:space="preserve"> (ii. 6) settles her position. The connexion had lasted a year when ii. 5 was written (see ver. 109). It is worth noticing that Martial selects Nemesis as the source of Tibullus’s reputation, </w:t>
      </w:r>
      <w:r>
        <w:rPr>
          <w:i w:val="0"/>
          <w:iCs w:val="0"/>
          <w:color w:val="000000"/>
          <w:spacing w:val="0"/>
          <w:w w:val="100"/>
          <w:position w:val="0"/>
          <w:shd w:val="clear" w:color="auto" w:fill="auto"/>
          <w:lang w:val="la-001" w:eastAsia="la-001" w:bidi="la-001"/>
        </w:rPr>
        <w:t xml:space="preserve">“fama est arguti </w:t>
      </w:r>
      <w:r>
        <w:rPr>
          <w:i w:val="0"/>
          <w:iCs w:val="0"/>
          <w:color w:val="000000"/>
          <w:spacing w:val="0"/>
          <w:w w:val="100"/>
          <w:position w:val="0"/>
          <w:shd w:val="clear" w:color="auto" w:fill="auto"/>
          <w:lang w:val="en-US" w:eastAsia="en-US" w:bidi="en-US"/>
        </w:rPr>
        <w:t xml:space="preserve">Nemesis </w:t>
      </w:r>
      <w:r>
        <w:rPr>
          <w:i w:val="0"/>
          <w:iCs w:val="0"/>
          <w:color w:val="000000"/>
          <w:spacing w:val="0"/>
          <w:w w:val="100"/>
          <w:position w:val="0"/>
          <w:shd w:val="clear" w:color="auto" w:fill="auto"/>
          <w:lang w:val="la-001" w:eastAsia="la-001" w:bidi="la-001"/>
        </w:rPr>
        <w:t xml:space="preserve">lasciva Tibulli” </w:t>
      </w:r>
      <w:r>
        <w:rPr>
          <w:color w:val="000000"/>
          <w:spacing w:val="0"/>
          <w:w w:val="100"/>
          <w:position w:val="0"/>
          <w:shd w:val="clear" w:color="auto" w:fill="auto"/>
          <w:lang w:val="en-US" w:eastAsia="en-US" w:bidi="en-US"/>
        </w:rPr>
        <w:t>{Epigr.,</w:t>
      </w:r>
      <w:r>
        <w:rPr>
          <w:i w:val="0"/>
          <w:iCs w:val="0"/>
          <w:color w:val="000000"/>
          <w:spacing w:val="0"/>
          <w:w w:val="100"/>
          <w:position w:val="0"/>
          <w:shd w:val="clear" w:color="auto" w:fill="auto"/>
          <w:lang w:val="en-US" w:eastAsia="en-US" w:bidi="en-US"/>
        </w:rPr>
        <w:t xml:space="preserve"> viii. 73, 7); compare xiv. 193, </w:t>
      </w:r>
      <w:r>
        <w:rPr>
          <w:i w:val="0"/>
          <w:iCs w:val="0"/>
          <w:color w:val="000000"/>
          <w:spacing w:val="0"/>
          <w:w w:val="100"/>
          <w:position w:val="0"/>
          <w:shd w:val="clear" w:color="auto" w:fill="auto"/>
          <w:lang w:val="la-001" w:eastAsia="la-001" w:bidi="la-001"/>
        </w:rPr>
        <w:t>“ussit amatorem Nemesis l</w:t>
      </w:r>
      <w:r>
        <w:rPr>
          <w:i w:val="0"/>
          <w:iCs w:val="0"/>
          <w:color w:val="000000"/>
          <w:spacing w:val="0"/>
          <w:w w:val="100"/>
          <w:position w:val="0"/>
          <w:shd w:val="clear" w:color="auto" w:fill="auto"/>
          <w:lang w:val="fr-FR" w:eastAsia="fr-FR" w:bidi="fr-FR"/>
        </w:rPr>
        <w:t xml:space="preserve">asciva </w:t>
      </w:r>
      <w:r>
        <w:rPr>
          <w:i w:val="0"/>
          <w:iCs w:val="0"/>
          <w:color w:val="000000"/>
          <w:spacing w:val="0"/>
          <w:w w:val="100"/>
          <w:position w:val="0"/>
          <w:shd w:val="clear" w:color="auto" w:fill="auto"/>
          <w:lang w:val="la-001" w:eastAsia="la-001" w:bidi="la-001"/>
        </w:rPr>
        <w:t xml:space="preserve">Tibullum, in tota iuvit quem nihil esse domo,” </w:t>
      </w:r>
      <w:r>
        <w:rPr>
          <w:i w:val="0"/>
          <w:iCs w:val="0"/>
          <w:color w:val="000000"/>
          <w:spacing w:val="0"/>
          <w:w w:val="100"/>
          <w:position w:val="0"/>
          <w:shd w:val="clear" w:color="auto" w:fill="auto"/>
          <w:lang w:val="en-US" w:eastAsia="en-US" w:bidi="en-US"/>
        </w:rPr>
        <w:t xml:space="preserve">where, however, the second line is taken from one of the Delia elegies. Ovid, </w:t>
      </w:r>
      <w:r>
        <w:rPr>
          <w:color w:val="000000"/>
          <w:spacing w:val="0"/>
          <w:w w:val="100"/>
          <w:position w:val="0"/>
          <w:shd w:val="clear" w:color="auto" w:fill="auto"/>
          <w:lang w:val="la-001" w:eastAsia="la-001" w:bidi="la-001"/>
        </w:rPr>
        <w:t>Amores,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iii. 9, 58, “me tenuit moriens </w:t>
      </w:r>
      <w:r>
        <w:rPr>
          <w:i w:val="0"/>
          <w:iCs w:val="0"/>
          <w:color w:val="000000"/>
          <w:spacing w:val="0"/>
          <w:w w:val="100"/>
          <w:position w:val="0"/>
          <w:shd w:val="clear" w:color="auto" w:fill="auto"/>
          <w:lang w:val="la-001" w:eastAsia="la-001" w:bidi="la-001"/>
        </w:rPr>
        <w:t xml:space="preserve">deficiente </w:t>
      </w:r>
      <w:r>
        <w:rPr>
          <w:i w:val="0"/>
          <w:iCs w:val="0"/>
          <w:color w:val="000000"/>
          <w:spacing w:val="0"/>
          <w:w w:val="100"/>
          <w:position w:val="0"/>
          <w:shd w:val="clear" w:color="auto" w:fill="auto"/>
          <w:lang w:val="fr-FR" w:eastAsia="fr-FR" w:bidi="fr-FR"/>
        </w:rPr>
        <w:t xml:space="preserve">manu.” </w:t>
      </w:r>
      <w:r>
        <w:rPr>
          <w:i w:val="0"/>
          <w:iCs w:val="0"/>
          <w:color w:val="000000"/>
          <w:spacing w:val="0"/>
          <w:w w:val="100"/>
          <w:position w:val="0"/>
          <w:shd w:val="clear" w:color="auto" w:fill="auto"/>
          <w:lang w:val="en-US" w:eastAsia="en-US" w:bidi="en-US"/>
        </w:rPr>
        <w:t xml:space="preserve">The point of this can only be seen by reference to Tib., </w:t>
      </w:r>
      <w:r>
        <w:rPr>
          <w:i w:val="0"/>
          <w:iCs w:val="0"/>
          <w:color w:val="000000"/>
          <w:spacing w:val="0"/>
          <w:w w:val="100"/>
          <w:position w:val="0"/>
          <w:shd w:val="clear" w:color="auto" w:fill="auto"/>
          <w:lang w:val="fr-FR" w:eastAsia="fr-FR" w:bidi="fr-FR"/>
        </w:rPr>
        <w:t xml:space="preserve">i. </w:t>
      </w:r>
      <w:r>
        <w:rPr>
          <w:i w:val="0"/>
          <w:iCs w:val="0"/>
          <w:color w:val="000000"/>
          <w:spacing w:val="0"/>
          <w:w w:val="100"/>
          <w:position w:val="0"/>
          <w:shd w:val="clear" w:color="auto" w:fill="auto"/>
          <w:lang w:val="en-US" w:eastAsia="en-US" w:bidi="en-US"/>
        </w:rPr>
        <w:t xml:space="preserve">1, 60, where Delia is addressed, “ </w:t>
      </w:r>
      <w:r>
        <w:rPr>
          <w:i w:val="0"/>
          <w:iCs w:val="0"/>
          <w:color w:val="000000"/>
          <w:spacing w:val="0"/>
          <w:w w:val="100"/>
          <w:position w:val="0"/>
          <w:shd w:val="clear" w:color="auto" w:fill="auto"/>
          <w:lang w:val="la-001" w:eastAsia="la-001" w:bidi="la-001"/>
        </w:rPr>
        <w:t xml:space="preserve">te teneam </w:t>
      </w:r>
      <w:r>
        <w:rPr>
          <w:i w:val="0"/>
          <w:iCs w:val="0"/>
          <w:color w:val="000000"/>
          <w:spacing w:val="0"/>
          <w:w w:val="100"/>
          <w:position w:val="0"/>
          <w:shd w:val="clear" w:color="auto" w:fill="auto"/>
          <w:lang w:val="en-US" w:eastAsia="en-US" w:bidi="en-US"/>
        </w:rPr>
        <w:t xml:space="preserve">moriens </w:t>
      </w:r>
      <w:r>
        <w:rPr>
          <w:i w:val="0"/>
          <w:iCs w:val="0"/>
          <w:color w:val="000000"/>
          <w:spacing w:val="0"/>
          <w:w w:val="100"/>
          <w:position w:val="0"/>
          <w:shd w:val="clear" w:color="auto" w:fill="auto"/>
          <w:lang w:val="la-001" w:eastAsia="la-001" w:bidi="la-001"/>
        </w:rPr>
        <w:t xml:space="preserve">deficiente </w:t>
      </w:r>
      <w:r>
        <w:rPr>
          <w:i w:val="0"/>
          <w:iCs w:val="0"/>
          <w:color w:val="000000"/>
          <w:spacing w:val="0"/>
          <w:w w:val="100"/>
          <w:position w:val="0"/>
          <w:shd w:val="clear" w:color="auto" w:fill="auto"/>
          <w:lang w:val="fr-FR" w:eastAsia="fr-FR" w:bidi="fr-FR"/>
        </w:rPr>
        <w:t xml:space="preserve">manu.” </w:t>
      </w:r>
      <w:r>
        <w:rPr>
          <w:i w:val="0"/>
          <w:iCs w:val="0"/>
          <w:color w:val="000000"/>
          <w:spacing w:val="0"/>
          <w:w w:val="100"/>
          <w:position w:val="0"/>
          <w:shd w:val="clear" w:color="auto" w:fill="auto"/>
          <w:lang w:val="en-US" w:eastAsia="en-US" w:bidi="en-US"/>
        </w:rPr>
        <w:t xml:space="preserve">—The epigram of </w:t>
      </w:r>
      <w:r>
        <w:rPr>
          <w:i w:val="0"/>
          <w:iCs w:val="0"/>
          <w:color w:val="000000"/>
          <w:spacing w:val="0"/>
          <w:w w:val="100"/>
          <w:position w:val="0"/>
          <w:shd w:val="clear" w:color="auto" w:fill="auto"/>
          <w:lang w:val="la-001" w:eastAsia="la-001" w:bidi="la-001"/>
        </w:rPr>
        <w:t xml:space="preserve">Domitius Marsus </w:t>
      </w:r>
      <w:r>
        <w:rPr>
          <w:i w:val="0"/>
          <w:iCs w:val="0"/>
          <w:color w:val="000000"/>
          <w:spacing w:val="0"/>
          <w:w w:val="100"/>
          <w:position w:val="0"/>
          <w:shd w:val="clear" w:color="auto" w:fill="auto"/>
          <w:lang w:val="en-US" w:eastAsia="en-US" w:bidi="en-US"/>
        </w:rPr>
        <w:t xml:space="preserve">on his death is as follows : “ Te </w:t>
      </w:r>
      <w:r>
        <w:rPr>
          <w:i w:val="0"/>
          <w:iCs w:val="0"/>
          <w:color w:val="000000"/>
          <w:spacing w:val="0"/>
          <w:w w:val="100"/>
          <w:position w:val="0"/>
          <w:shd w:val="clear" w:color="auto" w:fill="auto"/>
          <w:lang w:val="la-001" w:eastAsia="la-001" w:bidi="la-001"/>
        </w:rPr>
        <w:t xml:space="preserve">quoque, Vergilio comitem, </w:t>
      </w:r>
      <w:r>
        <w:rPr>
          <w:i w:val="0"/>
          <w:iCs w:val="0"/>
          <w:color w:val="000000"/>
          <w:spacing w:val="0"/>
          <w:w w:val="100"/>
          <w:position w:val="0"/>
          <w:shd w:val="clear" w:color="auto" w:fill="auto"/>
          <w:lang w:val="en-US" w:eastAsia="en-US" w:bidi="en-US"/>
        </w:rPr>
        <w:t xml:space="preserve">non </w:t>
      </w:r>
      <w:r>
        <w:rPr>
          <w:i w:val="0"/>
          <w:iCs w:val="0"/>
          <w:color w:val="000000"/>
          <w:spacing w:val="0"/>
          <w:w w:val="100"/>
          <w:position w:val="0"/>
          <w:shd w:val="clear" w:color="auto" w:fill="auto"/>
          <w:lang w:val="fr-FR" w:eastAsia="fr-FR" w:bidi="fr-FR"/>
        </w:rPr>
        <w:t xml:space="preserve">æqua, </w:t>
      </w:r>
      <w:r>
        <w:rPr>
          <w:i w:val="0"/>
          <w:iCs w:val="0"/>
          <w:color w:val="000000"/>
          <w:spacing w:val="0"/>
          <w:w w:val="100"/>
          <w:position w:val="0"/>
          <w:shd w:val="clear" w:color="auto" w:fill="auto"/>
          <w:lang w:val="la-001" w:eastAsia="la-001" w:bidi="la-001"/>
        </w:rPr>
        <w:t xml:space="preserve">Tibulle, Mors iuvenem campos misit ad Elysios, ne foret aut elegis molles qui fleret amores aut caneret forti regia bella pede.”—Tibullus </w:t>
      </w:r>
      <w:r>
        <w:rPr>
          <w:i w:val="0"/>
          <w:iCs w:val="0"/>
          <w:color w:val="000000"/>
          <w:spacing w:val="0"/>
          <w:w w:val="100"/>
          <w:position w:val="0"/>
          <w:shd w:val="clear" w:color="auto" w:fill="auto"/>
          <w:lang w:val="en-US" w:eastAsia="en-US" w:bidi="en-US"/>
        </w:rPr>
        <w:t xml:space="preserve">condemns the rough handling which the inamorata often suffered from her Roman lover,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i. 10, 59-60—“A ! lapis </w:t>
      </w:r>
      <w:r>
        <w:rPr>
          <w:i w:val="0"/>
          <w:iCs w:val="0"/>
          <w:color w:val="000000"/>
          <w:spacing w:val="0"/>
          <w:w w:val="100"/>
          <w:position w:val="0"/>
          <w:shd w:val="clear" w:color="auto" w:fill="auto"/>
          <w:lang w:val="la-001" w:eastAsia="la-001" w:bidi="la-001"/>
        </w:rPr>
        <w:t xml:space="preserve">est ferrumque, suam quicumque puellam verberat; e caelo deripit ille deos. </w:t>
      </w:r>
      <w:r>
        <w:rPr>
          <w:i w:val="0"/>
          <w:iCs w:val="0"/>
          <w:color w:val="000000"/>
          <w:spacing w:val="0"/>
          <w:w w:val="100"/>
          <w:position w:val="0"/>
          <w:shd w:val="clear" w:color="auto" w:fill="auto"/>
          <w:lang w:val="en-US" w:eastAsia="en-US" w:bidi="en-US"/>
        </w:rPr>
        <w:t xml:space="preserve">” The tenderness of the passage paraphrased above (ii. 6,41) is perhaps unmatched in ancient poetry : </w:t>
      </w:r>
      <w:r>
        <w:rPr>
          <w:i w:val="0"/>
          <w:iCs w:val="0"/>
          <w:color w:val="000000"/>
          <w:spacing w:val="0"/>
          <w:w w:val="100"/>
          <w:position w:val="0"/>
          <w:shd w:val="clear" w:color="auto" w:fill="auto"/>
          <w:lang w:val="la-001" w:eastAsia="la-001" w:bidi="la-001"/>
        </w:rPr>
        <w:t xml:space="preserve">“desino, </w:t>
      </w:r>
      <w:r>
        <w:rPr>
          <w:i w:val="0"/>
          <w:iCs w:val="0"/>
          <w:color w:val="000000"/>
          <w:spacing w:val="0"/>
          <w:w w:val="100"/>
          <w:position w:val="0"/>
          <w:shd w:val="clear" w:color="auto" w:fill="auto"/>
          <w:lang w:val="fr-FR" w:eastAsia="fr-FR" w:bidi="fr-FR"/>
        </w:rPr>
        <w:t xml:space="preserve">ne dominæ </w:t>
      </w:r>
      <w:r>
        <w:rPr>
          <w:i w:val="0"/>
          <w:iCs w:val="0"/>
          <w:color w:val="000000"/>
          <w:spacing w:val="0"/>
          <w:w w:val="100"/>
          <w:position w:val="0"/>
          <w:shd w:val="clear" w:color="auto" w:fill="auto"/>
          <w:lang w:val="la-001" w:eastAsia="la-001" w:bidi="la-001"/>
        </w:rPr>
        <w:t xml:space="preserve">luctus renoventur acerbi. Non ego sum tanti </w:t>
      </w:r>
      <w:r>
        <w:rPr>
          <w:i w:val="0"/>
          <w:iCs w:val="0"/>
          <w:color w:val="000000"/>
          <w:spacing w:val="0"/>
          <w:w w:val="100"/>
          <w:position w:val="0"/>
          <w:shd w:val="clear" w:color="auto" w:fill="auto"/>
          <w:lang w:val="la-001" w:eastAsia="la-001" w:bidi="la-001"/>
        </w:rPr>
        <w:t xml:space="preserve">ploret ut illa semel. ”—His </w:t>
      </w:r>
      <w:r>
        <w:rPr>
          <w:i w:val="0"/>
          <w:iCs w:val="0"/>
          <w:color w:val="000000"/>
          <w:spacing w:val="0"/>
          <w:w w:val="100"/>
          <w:position w:val="0"/>
          <w:shd w:val="clear" w:color="auto" w:fill="auto"/>
          <w:lang w:val="en-US" w:eastAsia="en-US" w:bidi="en-US"/>
        </w:rPr>
        <w:t xml:space="preserve">love for a rustic life and rustic worship appears throughout whole poems, as in </w:t>
      </w:r>
      <w:r>
        <w:rPr>
          <w:i w:val="0"/>
          <w:iCs w:val="0"/>
          <w:color w:val="000000"/>
          <w:spacing w:val="0"/>
          <w:w w:val="100"/>
          <w:position w:val="0"/>
          <w:shd w:val="clear" w:color="auto" w:fill="auto"/>
          <w:lang w:val="la-001" w:eastAsia="la-001" w:bidi="la-001"/>
        </w:rPr>
        <w:t xml:space="preserve">i. </w:t>
      </w:r>
      <w:r>
        <w:rPr>
          <w:i w:val="0"/>
          <w:iCs w:val="0"/>
          <w:color w:val="000000"/>
          <w:spacing w:val="0"/>
          <w:w w:val="100"/>
          <w:position w:val="0"/>
          <w:shd w:val="clear" w:color="auto" w:fill="auto"/>
          <w:lang w:val="en-US" w:eastAsia="en-US" w:bidi="en-US"/>
        </w:rPr>
        <w:t xml:space="preserve">1 and ii. 1, 2. Of his poetry he says (ii. 4, 19), “Ad </w:t>
      </w:r>
      <w:r>
        <w:rPr>
          <w:i w:val="0"/>
          <w:iCs w:val="0"/>
          <w:color w:val="000000"/>
          <w:spacing w:val="0"/>
          <w:w w:val="100"/>
          <w:position w:val="0"/>
          <w:shd w:val="clear" w:color="auto" w:fill="auto"/>
          <w:lang w:val="la-001" w:eastAsia="la-001" w:bidi="la-001"/>
        </w:rPr>
        <w:t xml:space="preserve">dominam faciles aditus </w:t>
      </w:r>
      <w:r>
        <w:rPr>
          <w:i w:val="0"/>
          <w:iCs w:val="0"/>
          <w:color w:val="000000"/>
          <w:spacing w:val="0"/>
          <w:w w:val="100"/>
          <w:position w:val="0"/>
          <w:shd w:val="clear" w:color="auto" w:fill="auto"/>
          <w:lang w:val="en-US" w:eastAsia="en-US" w:bidi="en-US"/>
        </w:rPr>
        <w:t xml:space="preserve">per carmina </w:t>
      </w:r>
      <w:r>
        <w:rPr>
          <w:i w:val="0"/>
          <w:iCs w:val="0"/>
          <w:color w:val="000000"/>
          <w:spacing w:val="0"/>
          <w:w w:val="100"/>
          <w:position w:val="0"/>
          <w:shd w:val="clear" w:color="auto" w:fill="auto"/>
          <w:lang w:val="fr-FR" w:eastAsia="fr-FR" w:bidi="fr-FR"/>
        </w:rPr>
        <w:t xml:space="preserve">quæro </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ite procul, </w:t>
      </w:r>
      <w:r>
        <w:rPr>
          <w:i w:val="0"/>
          <w:iCs w:val="0"/>
          <w:color w:val="000000"/>
          <w:spacing w:val="0"/>
          <w:w w:val="100"/>
          <w:position w:val="0"/>
          <w:shd w:val="clear" w:color="auto" w:fill="auto"/>
          <w:lang w:val="fr-FR" w:eastAsia="fr-FR" w:bidi="fr-FR"/>
        </w:rPr>
        <w:t xml:space="preserve">Musæ, </w:t>
      </w:r>
      <w:r>
        <w:rPr>
          <w:i w:val="0"/>
          <w:iCs w:val="0"/>
          <w:color w:val="000000"/>
          <w:spacing w:val="0"/>
          <w:w w:val="100"/>
          <w:position w:val="0"/>
          <w:shd w:val="clear" w:color="auto" w:fill="auto"/>
          <w:lang w:val="la-001" w:eastAsia="la-001" w:bidi="la-001"/>
        </w:rPr>
        <w:t>si nihil ista valent.”—</w:t>
      </w:r>
      <w:r>
        <w:rPr>
          <w:i w:val="0"/>
          <w:iCs w:val="0"/>
          <w:color w:val="000000"/>
          <w:spacing w:val="0"/>
          <w:w w:val="100"/>
          <w:position w:val="0"/>
          <w:shd w:val="clear" w:color="auto" w:fill="auto"/>
          <w:lang w:val="en-US" w:eastAsia="en-US" w:bidi="en-US"/>
        </w:rPr>
        <w:t xml:space="preserve">Specimens of </w:t>
      </w:r>
      <w:r>
        <w:rPr>
          <w:i w:val="0"/>
          <w:iCs w:val="0"/>
          <w:color w:val="000000"/>
          <w:spacing w:val="0"/>
          <w:w w:val="100"/>
          <w:position w:val="0"/>
          <w:shd w:val="clear" w:color="auto" w:fill="auto"/>
          <w:lang w:val="la-001" w:eastAsia="la-001" w:bidi="la-001"/>
        </w:rPr>
        <w:t xml:space="preserve">Tibullus </w:t>
      </w:r>
      <w:r>
        <w:rPr>
          <w:i w:val="0"/>
          <w:iCs w:val="0"/>
          <w:color w:val="000000"/>
          <w:spacing w:val="0"/>
          <w:w w:val="100"/>
          <w:position w:val="0"/>
          <w:shd w:val="clear" w:color="auto" w:fill="auto"/>
          <w:lang w:val="en-US" w:eastAsia="en-US" w:bidi="en-US"/>
        </w:rPr>
        <w:t xml:space="preserve">at </w:t>
      </w:r>
      <w:r>
        <w:rPr>
          <w:i w:val="0"/>
          <w:iCs w:val="0"/>
          <w:color w:val="000000"/>
          <w:spacing w:val="0"/>
          <w:w w:val="100"/>
          <w:position w:val="0"/>
          <w:shd w:val="clear" w:color="auto" w:fill="auto"/>
          <w:lang w:val="la-001" w:eastAsia="la-001" w:bidi="la-001"/>
        </w:rPr>
        <w:t xml:space="preserve">his </w:t>
      </w:r>
      <w:r>
        <w:rPr>
          <w:i w:val="0"/>
          <w:iCs w:val="0"/>
          <w:color w:val="000000"/>
          <w:spacing w:val="0"/>
          <w:w w:val="100"/>
          <w:position w:val="0"/>
          <w:shd w:val="clear" w:color="auto" w:fill="auto"/>
          <w:lang w:val="en-US" w:eastAsia="en-US" w:bidi="en-US"/>
        </w:rPr>
        <w:t>best may be found in i. 1, 3, 89-94 ; 5, 19-36 ; 9, 45-68; ii. 6. Quintilian says (</w:t>
      </w:r>
      <w:r>
        <w:rPr>
          <w:color w:val="000000"/>
          <w:spacing w:val="0"/>
          <w:w w:val="100"/>
          <w:position w:val="0"/>
          <w:shd w:val="clear" w:color="auto" w:fill="auto"/>
          <w:lang w:val="en-US" w:eastAsia="en-US" w:bidi="en-US"/>
        </w:rPr>
        <w:t>Inst., x.</w:t>
      </w:r>
      <w:r>
        <w:rPr>
          <w:i w:val="0"/>
          <w:iCs w:val="0"/>
          <w:color w:val="000000"/>
          <w:spacing w:val="0"/>
          <w:w w:val="100"/>
          <w:position w:val="0"/>
          <w:shd w:val="clear" w:color="auto" w:fill="auto"/>
          <w:lang w:val="en-US" w:eastAsia="en-US" w:bidi="en-US"/>
        </w:rPr>
        <w:t xml:space="preserve"> 1, 93), </w:t>
      </w:r>
      <w:r>
        <w:rPr>
          <w:i w:val="0"/>
          <w:iCs w:val="0"/>
          <w:color w:val="000000"/>
          <w:spacing w:val="0"/>
          <w:w w:val="100"/>
          <w:position w:val="0"/>
          <w:shd w:val="clear" w:color="auto" w:fill="auto"/>
          <w:lang w:val="la-001" w:eastAsia="la-001" w:bidi="la-001"/>
        </w:rPr>
        <w:t xml:space="preserve">“Elegia quoque </w:t>
      </w:r>
      <w:r>
        <w:rPr>
          <w:i w:val="0"/>
          <w:iCs w:val="0"/>
          <w:color w:val="000000"/>
          <w:spacing w:val="0"/>
          <w:w w:val="100"/>
          <w:position w:val="0"/>
          <w:shd w:val="clear" w:color="auto" w:fill="auto"/>
          <w:lang w:val="fr-FR" w:eastAsia="fr-FR" w:bidi="fr-FR"/>
        </w:rPr>
        <w:t xml:space="preserve">Græcos </w:t>
      </w:r>
      <w:r>
        <w:rPr>
          <w:i w:val="0"/>
          <w:iCs w:val="0"/>
          <w:color w:val="000000"/>
          <w:spacing w:val="0"/>
          <w:w w:val="100"/>
          <w:position w:val="0"/>
          <w:shd w:val="clear" w:color="auto" w:fill="auto"/>
          <w:lang w:val="la-001" w:eastAsia="la-001" w:bidi="la-001"/>
        </w:rPr>
        <w:t>provocamus, cuius mihi tersus atque elegans maxime videtur auctor Tibullus ; sunt qui Propertium malint ; Ovidius utroque las</w:t>
        <w:softHyphen/>
        <w:t>civior sicut durior Gallus.”—</w:t>
      </w:r>
      <w:r>
        <w:rPr>
          <w:i w:val="0"/>
          <w:iCs w:val="0"/>
          <w:color w:val="000000"/>
          <w:spacing w:val="0"/>
          <w:w w:val="100"/>
          <w:position w:val="0"/>
          <w:shd w:val="clear" w:color="auto" w:fill="auto"/>
          <w:lang w:val="en-US" w:eastAsia="en-US" w:bidi="en-US"/>
        </w:rPr>
        <w:t xml:space="preserve">Ovid </w:t>
      </w:r>
      <w:r>
        <w:rPr>
          <w:color w:val="000000"/>
          <w:spacing w:val="0"/>
          <w:w w:val="100"/>
          <w:position w:val="0"/>
          <w:shd w:val="clear" w:color="auto" w:fill="auto"/>
          <w:lang w:val="en-US" w:eastAsia="en-US" w:bidi="en-US"/>
        </w:rPr>
        <w:t>{Am., l.c.)</w:t>
      </w:r>
      <w:r>
        <w:rPr>
          <w:i w:val="0"/>
          <w:iCs w:val="0"/>
          <w:color w:val="000000"/>
          <w:spacing w:val="0"/>
          <w:w w:val="100"/>
          <w:position w:val="0"/>
          <w:shd w:val="clear" w:color="auto" w:fill="auto"/>
          <w:lang w:val="en-US" w:eastAsia="en-US" w:bidi="en-US"/>
        </w:rPr>
        <w:t xml:space="preserve"> well calls him </w:t>
      </w:r>
      <w:r>
        <w:rPr>
          <w:color w:val="000000"/>
          <w:spacing w:val="0"/>
          <w:w w:val="100"/>
          <w:position w:val="0"/>
          <w:shd w:val="clear" w:color="auto" w:fill="auto"/>
          <w:lang w:val="en-US" w:eastAsia="en-US" w:bidi="en-US"/>
        </w:rPr>
        <w:t xml:space="preserve">cultus, </w:t>
      </w:r>
      <w:r>
        <w:rPr>
          <w:i w:val="0"/>
          <w:iCs w:val="0"/>
          <w:color w:val="000000"/>
          <w:spacing w:val="0"/>
          <w:w w:val="100"/>
          <w:position w:val="0"/>
          <w:shd w:val="clear" w:color="auto" w:fill="auto"/>
          <w:lang w:val="en-US" w:eastAsia="en-US" w:bidi="en-US"/>
        </w:rPr>
        <w:t xml:space="preserve">Martial </w:t>
      </w:r>
      <w:r>
        <w:rPr>
          <w:color w:val="000000"/>
          <w:spacing w:val="0"/>
          <w:w w:val="100"/>
          <w:position w:val="0"/>
          <w:shd w:val="clear" w:color="auto" w:fill="auto"/>
          <w:lang w:val="la-001" w:eastAsia="la-001" w:bidi="la-001"/>
        </w:rPr>
        <w:t xml:space="preserve">argutus, </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fine-toned. ” A short but not inadequate account of Tibullus’s prosody is given by L. Mueller in his introduction to Tibullus </w:t>
      </w:r>
      <w:r>
        <w:rPr>
          <w:color w:val="000000"/>
          <w:spacing w:val="0"/>
          <w:w w:val="100"/>
          <w:position w:val="0"/>
          <w:shd w:val="clear" w:color="auto" w:fill="auto"/>
          <w:lang w:val="en-US" w:eastAsia="en-US" w:bidi="en-US"/>
        </w:rPr>
        <w:t>{Catullus, Tibullus, und Propertius,</w:t>
      </w:r>
      <w:r>
        <w:rPr>
          <w:i w:val="0"/>
          <w:iCs w:val="0"/>
          <w:color w:val="000000"/>
          <w:spacing w:val="0"/>
          <w:w w:val="100"/>
          <w:position w:val="0"/>
          <w:shd w:val="clear" w:color="auto" w:fill="auto"/>
          <w:lang w:val="en-US" w:eastAsia="en-US" w:bidi="en-US"/>
        </w:rPr>
        <w:t xml:space="preserve"> Leipsic, 1880). Catullus and Tibullus lengthen a short vowel before </w:t>
      </w:r>
      <w:r>
        <w:rPr>
          <w:color w:val="000000"/>
          <w:spacing w:val="0"/>
          <w:w w:val="100"/>
          <w:position w:val="0"/>
          <w:shd w:val="clear" w:color="auto" w:fill="auto"/>
          <w:lang w:val="en-US" w:eastAsia="en-US" w:bidi="en-US"/>
        </w:rPr>
        <w:t>sp</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fr ; </w:t>
      </w:r>
      <w:r>
        <w:rPr>
          <w:i w:val="0"/>
          <w:iCs w:val="0"/>
          <w:color w:val="000000"/>
          <w:spacing w:val="0"/>
          <w:w w:val="100"/>
          <w:position w:val="0"/>
          <w:shd w:val="clear" w:color="auto" w:fill="auto"/>
          <w:lang w:val="en-US" w:eastAsia="en-US" w:bidi="en-US"/>
        </w:rPr>
        <w:t xml:space="preserve">Propertius always keeps it short in similar conjunctions, even where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is followed by two consonants, as in </w:t>
      </w:r>
      <w:r>
        <w:rPr>
          <w:color w:val="000000"/>
          <w:spacing w:val="0"/>
          <w:w w:val="100"/>
          <w:position w:val="0"/>
          <w:shd w:val="clear" w:color="auto" w:fill="auto"/>
          <w:lang w:val="la-001" w:eastAsia="la-001" w:bidi="la-001"/>
        </w:rPr>
        <w:t>striges.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Catullus, and in three cases Tibullus, allow a trisyllabic verb to close the pentameter. Propertius never permits himself this liberty, al</w:t>
        <w:softHyphen/>
        <w:t xml:space="preserve">though in his earlier poems he has as many trisyllabic endings as Tibullus. —The chronology of the first book is discussed amongst others by Baehrens </w:t>
      </w:r>
      <w:r>
        <w:rPr>
          <w:color w:val="000000"/>
          <w:spacing w:val="0"/>
          <w:w w:val="100"/>
          <w:position w:val="0"/>
          <w:shd w:val="clear" w:color="auto" w:fill="auto"/>
          <w:lang w:val="en-US" w:eastAsia="en-US" w:bidi="en-US"/>
        </w:rPr>
        <w:t>{Tib. Bl.,</w:t>
      </w:r>
      <w:r>
        <w:rPr>
          <w:i w:val="0"/>
          <w:iCs w:val="0"/>
          <w:color w:val="000000"/>
          <w:spacing w:val="0"/>
          <w:w w:val="100"/>
          <w:position w:val="0"/>
          <w:shd w:val="clear" w:color="auto" w:fill="auto"/>
          <w:lang w:val="en-US" w:eastAsia="en-US" w:bidi="en-US"/>
        </w:rPr>
        <w:t xml:space="preserve"> pp. 12-24). But the data do not admit in all cases of his precise determinations. Baehrens and Hiller </w:t>
      </w:r>
      <w:r>
        <w:rPr>
          <w:color w:val="000000"/>
          <w:spacing w:val="0"/>
          <w:w w:val="100"/>
          <w:position w:val="0"/>
          <w:shd w:val="clear" w:color="auto" w:fill="auto"/>
          <w:lang w:val="en-US" w:eastAsia="en-US" w:bidi="en-US"/>
        </w:rPr>
        <w:t>{Hermes,</w:t>
      </w:r>
      <w:r>
        <w:rPr>
          <w:i w:val="0"/>
          <w:iCs w:val="0"/>
          <w:color w:val="000000"/>
          <w:spacing w:val="0"/>
          <w:w w:val="100"/>
          <w:position w:val="0"/>
          <w:shd w:val="clear" w:color="auto" w:fill="auto"/>
          <w:lang w:val="en-US" w:eastAsia="en-US" w:bidi="en-US"/>
        </w:rPr>
        <w:t xml:space="preserve"> xviii. 353) agree that the second book was post</w:t>
        <w:softHyphen/>
        <w:t xml:space="preserve">humous. If it had been known to Ovid when he wrote his elegy on the poet’s death, it seems certain that he would have quoted from it. Hiller assigns 2 B.c. as an inferior limit, by which time Ov., </w:t>
      </w:r>
      <w:r>
        <w:rPr>
          <w:color w:val="000000"/>
          <w:spacing w:val="0"/>
          <w:w w:val="100"/>
          <w:position w:val="0"/>
          <w:shd w:val="clear" w:color="auto" w:fill="auto"/>
          <w:lang w:val="de-DE" w:eastAsia="de-DE" w:bidi="de-DE"/>
        </w:rPr>
        <w:t xml:space="preserve">Ars </w:t>
      </w:r>
      <w:r>
        <w:rPr>
          <w:color w:val="000000"/>
          <w:spacing w:val="0"/>
          <w:w w:val="100"/>
          <w:position w:val="0"/>
          <w:shd w:val="clear" w:color="auto" w:fill="auto"/>
          <w:lang w:val="en-US" w:eastAsia="en-US" w:bidi="en-US"/>
        </w:rPr>
        <w:t>Am.,</w:t>
      </w:r>
      <w:r>
        <w:rPr>
          <w:i w:val="0"/>
          <w:iCs w:val="0"/>
          <w:color w:val="000000"/>
          <w:spacing w:val="0"/>
          <w:w w:val="100"/>
          <w:position w:val="0"/>
          <w:shd w:val="clear" w:color="auto" w:fill="auto"/>
          <w:lang w:val="en-US" w:eastAsia="en-US" w:bidi="en-US"/>
        </w:rPr>
        <w:t xml:space="preserve"> iii. 3, 535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must have been written. Amongst the “disarranged poems” are i. 1, 4, 6 and ii. 3, 5. Proposed re</w:t>
        <w:softHyphen/>
        <w:t xml:space="preserve">arrangements of them may be found in Hiller’s </w:t>
      </w:r>
      <w:r>
        <w:rPr>
          <w:color w:val="000000"/>
          <w:spacing w:val="0"/>
          <w:w w:val="100"/>
          <w:position w:val="0"/>
          <w:shd w:val="clear" w:color="auto" w:fill="auto"/>
          <w:lang w:val="en-US" w:eastAsia="en-US" w:bidi="en-US"/>
        </w:rPr>
        <w:t>Tibullus</w:t>
      </w:r>
      <w:r>
        <w:rPr>
          <w:i w:val="0"/>
          <w:iCs w:val="0"/>
          <w:color w:val="000000"/>
          <w:spacing w:val="0"/>
          <w:w w:val="100"/>
          <w:position w:val="0"/>
          <w:shd w:val="clear" w:color="auto" w:fill="auto"/>
          <w:lang w:val="en-US" w:eastAsia="en-US" w:bidi="en-US"/>
        </w:rPr>
        <w:t xml:space="preserve"> (1885). Charisius (pp. 66 and 105) quotes part of a hexameter which is not found in the extant poems of Tibullus.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Tibullian authorship of book iii. has long ago been sur</w:t>
        <w:softHyphen/>
        <w:t xml:space="preserve">rendered by scholars. Its latest defenders have been Fuss </w:t>
      </w:r>
      <w:r>
        <w:rPr>
          <w:color w:val="000000"/>
          <w:spacing w:val="0"/>
          <w:w w:val="100"/>
          <w:position w:val="0"/>
          <w:shd w:val="clear" w:color="auto" w:fill="auto"/>
          <w:lang w:val="en-US" w:eastAsia="en-US" w:bidi="en-US"/>
        </w:rPr>
        <w:t xml:space="preserve">{Be Elegg. </w:t>
      </w:r>
      <w:r>
        <w:rPr>
          <w:color w:val="000000"/>
          <w:spacing w:val="0"/>
          <w:w w:val="100"/>
          <w:position w:val="0"/>
          <w:shd w:val="clear" w:color="auto" w:fill="auto"/>
          <w:lang w:val="de-DE" w:eastAsia="de-DE" w:bidi="de-DE"/>
        </w:rPr>
        <w:t xml:space="preserve">Libro </w:t>
      </w:r>
      <w:r>
        <w:rPr>
          <w:color w:val="000000"/>
          <w:spacing w:val="0"/>
          <w:w w:val="100"/>
          <w:position w:val="0"/>
          <w:shd w:val="clear" w:color="auto" w:fill="auto"/>
          <w:lang w:val="en-US" w:eastAsia="en-US" w:bidi="en-US"/>
        </w:rPr>
        <w:t xml:space="preserve">quem Lygdami esse </w:t>
      </w:r>
      <w:r>
        <w:rPr>
          <w:color w:val="000000"/>
          <w:spacing w:val="0"/>
          <w:w w:val="100"/>
          <w:position w:val="0"/>
          <w:shd w:val="clear" w:color="auto" w:fill="auto"/>
          <w:lang w:val="la-001" w:eastAsia="la-001" w:bidi="la-001"/>
        </w:rPr>
        <w:t>putant,</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lang w:val="en-US" w:eastAsia="en-US" w:bidi="en-US"/>
        </w:rPr>
        <w:t>ü</w:t>
      </w:r>
      <w:r>
        <w:rPr>
          <w:i w:val="0"/>
          <w:iCs w:val="0"/>
          <w:color w:val="000000"/>
          <w:spacing w:val="0"/>
          <w:w w:val="100"/>
          <w:position w:val="0"/>
          <w:shd w:val="clear" w:color="auto" w:fill="auto"/>
          <w:lang w:val="en-US" w:eastAsia="en-US" w:bidi="en-US"/>
        </w:rPr>
        <w:t xml:space="preserve">nster, 1867) and the English translator, J. Cranstoun. It has been suggested that </w:t>
      </w:r>
      <w:r>
        <w:rPr>
          <w:color w:val="000000"/>
          <w:spacing w:val="0"/>
          <w:w w:val="100"/>
          <w:position w:val="0"/>
          <w:shd w:val="clear" w:color="auto" w:fill="auto"/>
          <w:lang w:val="en-US" w:eastAsia="en-US" w:bidi="en-US"/>
        </w:rPr>
        <w:t>Lygdamus</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ύ</w:t>
      </w:r>
      <w:r>
        <w:rPr>
          <w:color w:val="000000"/>
          <w:spacing w:val="0"/>
          <w:w w:val="100"/>
          <w:position w:val="0"/>
          <w:shd w:val="clear" w:color="auto" w:fill="auto"/>
          <w:lang w:val="en-US" w:eastAsia="en-US" w:bidi="en-US"/>
        </w:rPr>
        <w:t>γδo</w:t>
      </w:r>
      <w:r>
        <w:rPr>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white marble) is a Grecizing of </w:t>
      </w:r>
      <w:r>
        <w:rPr>
          <w:color w:val="000000"/>
          <w:spacing w:val="0"/>
          <w:w w:val="100"/>
          <w:position w:val="0"/>
          <w:shd w:val="clear" w:color="auto" w:fill="auto"/>
          <w:lang w:val="en-US" w:eastAsia="en-US" w:bidi="en-US"/>
        </w:rPr>
        <w:t>Albius,</w:t>
      </w:r>
      <w:r>
        <w:rPr>
          <w:i w:val="0"/>
          <w:iCs w:val="0"/>
          <w:color w:val="000000"/>
          <w:spacing w:val="0"/>
          <w:w w:val="100"/>
          <w:position w:val="0"/>
          <w:shd w:val="clear" w:color="auto" w:fill="auto"/>
          <w:lang w:val="en-US" w:eastAsia="en-US" w:bidi="en-US"/>
        </w:rPr>
        <w:t xml:space="preserve"> some relation of Tibullus (compare Hiller, </w:t>
      </w:r>
      <w:r>
        <w:rPr>
          <w:color w:val="000000"/>
          <w:spacing w:val="0"/>
          <w:w w:val="100"/>
          <w:position w:val="0"/>
          <w:shd w:val="clear" w:color="auto" w:fill="auto"/>
          <w:lang w:val="en-US" w:eastAsia="en-US" w:bidi="en-US"/>
        </w:rPr>
        <w:t>Hermes,</w:t>
      </w:r>
      <w:r>
        <w:rPr>
          <w:i w:val="0"/>
          <w:iCs w:val="0"/>
          <w:color w:val="000000"/>
          <w:spacing w:val="0"/>
          <w:w w:val="100"/>
          <w:position w:val="0"/>
          <w:shd w:val="clear" w:color="auto" w:fill="auto"/>
          <w:lang w:val="en-US" w:eastAsia="en-US" w:bidi="en-US"/>
        </w:rPr>
        <w:t xml:space="preserve"> xviii. 353, n. 2) ; and this is possible. Gruppe’s long-exploded theory that Ovid was the author has been recently revived by J. Kleeman </w:t>
      </w:r>
      <w:r>
        <w:rPr>
          <w:color w:val="000000"/>
          <w:spacing w:val="0"/>
          <w:w w:val="100"/>
          <w:position w:val="0"/>
          <w:shd w:val="clear" w:color="auto" w:fill="auto"/>
          <w:lang w:val="en-US" w:eastAsia="en-US" w:bidi="en-US"/>
        </w:rPr>
        <w:t xml:space="preserve">{Be Libri III. Carminibus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la-001" w:eastAsia="la-001" w:bidi="la-001"/>
        </w:rPr>
        <w:t xml:space="preserve">Tibulli </w:t>
      </w:r>
      <w:r>
        <w:rPr>
          <w:color w:val="000000"/>
          <w:spacing w:val="0"/>
          <w:w w:val="100"/>
          <w:position w:val="0"/>
          <w:shd w:val="clear" w:color="auto" w:fill="auto"/>
          <w:lang w:val="en-US" w:eastAsia="en-US" w:bidi="en-US"/>
        </w:rPr>
        <w:t xml:space="preserve">Nomine </w:t>
      </w:r>
      <w:r>
        <w:rPr>
          <w:color w:val="000000"/>
          <w:spacing w:val="0"/>
          <w:w w:val="100"/>
          <w:position w:val="0"/>
          <w:shd w:val="clear" w:color="auto" w:fill="auto"/>
          <w:lang w:val="la-001" w:eastAsia="la-001" w:bidi="la-001"/>
        </w:rPr>
        <w:t>circumferuntur,</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Strasburg, 1876). Considerable difficulty is caused by iii. 5, 15-20, which contains agreements with three passages of Ovid, </w:t>
      </w:r>
      <w:r>
        <w:rPr>
          <w:color w:val="000000"/>
          <w:spacing w:val="0"/>
          <w:w w:val="100"/>
          <w:position w:val="0"/>
          <w:shd w:val="clear" w:color="auto" w:fill="auto"/>
          <w:lang w:val="de-DE" w:eastAsia="de-DE" w:bidi="de-DE"/>
        </w:rPr>
        <w:t xml:space="preserve">Ars </w:t>
      </w:r>
      <w:r>
        <w:rPr>
          <w:color w:val="000000"/>
          <w:spacing w:val="0"/>
          <w:w w:val="100"/>
          <w:position w:val="0"/>
          <w:shd w:val="clear" w:color="auto" w:fill="auto"/>
          <w:lang w:val="en-US" w:eastAsia="en-US" w:bidi="en-US"/>
        </w:rPr>
        <w:t>Am.,</w:t>
      </w:r>
      <w:r>
        <w:rPr>
          <w:i w:val="0"/>
          <w:iCs w:val="0"/>
          <w:color w:val="000000"/>
          <w:spacing w:val="0"/>
          <w:w w:val="100"/>
          <w:position w:val="0"/>
          <w:shd w:val="clear" w:color="auto" w:fill="auto"/>
          <w:lang w:val="en-US" w:eastAsia="en-US" w:bidi="en-US"/>
        </w:rPr>
        <w:t xml:space="preserve"> ii. 669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Tr.,</w:t>
      </w:r>
      <w:r>
        <w:rPr>
          <w:i w:val="0"/>
          <w:iCs w:val="0"/>
          <w:color w:val="000000"/>
          <w:spacing w:val="0"/>
          <w:w w:val="100"/>
          <w:position w:val="0"/>
          <w:shd w:val="clear" w:color="auto" w:fill="auto"/>
          <w:lang w:val="en-US" w:eastAsia="en-US" w:bidi="en-US"/>
        </w:rPr>
        <w:t xml:space="preserve"> iv. 10, 6: “cum </w:t>
      </w:r>
      <w:r>
        <w:rPr>
          <w:i w:val="0"/>
          <w:iCs w:val="0"/>
          <w:color w:val="000000"/>
          <w:spacing w:val="0"/>
          <w:w w:val="100"/>
          <w:position w:val="0"/>
          <w:shd w:val="clear" w:color="auto" w:fill="auto"/>
          <w:lang w:val="la-001" w:eastAsia="la-001" w:bidi="la-001"/>
        </w:rPr>
        <w:t xml:space="preserve">cecidit fato </w:t>
      </w:r>
      <w:r>
        <w:rPr>
          <w:i w:val="0"/>
          <w:iCs w:val="0"/>
          <w:color w:val="000000"/>
          <w:spacing w:val="0"/>
          <w:w w:val="100"/>
          <w:position w:val="0"/>
          <w:shd w:val="clear" w:color="auto" w:fill="auto"/>
          <w:lang w:val="en-US" w:eastAsia="en-US" w:bidi="en-US"/>
        </w:rPr>
        <w:t xml:space="preserve">consul </w:t>
      </w:r>
      <w:r>
        <w:rPr>
          <w:i w:val="0"/>
          <w:iCs w:val="0"/>
          <w:color w:val="000000"/>
          <w:spacing w:val="0"/>
          <w:w w:val="100"/>
          <w:position w:val="0"/>
          <w:shd w:val="clear" w:color="auto" w:fill="auto"/>
          <w:lang w:val="la-001" w:eastAsia="la-001" w:bidi="la-001"/>
        </w:rPr>
        <w:t xml:space="preserve">uterque </w:t>
      </w:r>
      <w:r>
        <w:rPr>
          <w:i w:val="0"/>
          <w:iCs w:val="0"/>
          <w:color w:val="000000"/>
          <w:spacing w:val="0"/>
          <w:w w:val="100"/>
          <w:position w:val="0"/>
          <w:shd w:val="clear" w:color="auto" w:fill="auto"/>
          <w:lang w:val="de-DE" w:eastAsia="de-DE" w:bidi="de-DE"/>
        </w:rPr>
        <w:t xml:space="preserve">pari” </w:t>
      </w:r>
      <w:r>
        <w:rPr>
          <w:i w:val="0"/>
          <w:iCs w:val="0"/>
          <w:color w:val="000000"/>
          <w:spacing w:val="0"/>
          <w:w w:val="100"/>
          <w:position w:val="0"/>
          <w:shd w:val="clear" w:color="auto" w:fill="auto"/>
          <w:lang w:val="en-US" w:eastAsia="en-US" w:bidi="en-US"/>
        </w:rPr>
        <w:t xml:space="preserve">(Lygdamus and Ovid using word for word the same expression for the year of their birth, the consulship of </w:t>
      </w:r>
      <w:r>
        <w:rPr>
          <w:i w:val="0"/>
          <w:iCs w:val="0"/>
          <w:color w:val="000000"/>
          <w:spacing w:val="0"/>
          <w:w w:val="100"/>
          <w:position w:val="0"/>
          <w:shd w:val="clear" w:color="auto" w:fill="auto"/>
          <w:lang w:val="la-001" w:eastAsia="la-001" w:bidi="la-001"/>
        </w:rPr>
        <w:t xml:space="preserve">Hirtius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fr-FR" w:eastAsia="fr-FR" w:bidi="fr-FR"/>
        </w:rPr>
        <w:t xml:space="preserve">Pansa) </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Am.,</w:t>
      </w:r>
      <w:r>
        <w:rPr>
          <w:i w:val="0"/>
          <w:iCs w:val="0"/>
          <w:color w:val="000000"/>
          <w:spacing w:val="0"/>
          <w:w w:val="100"/>
          <w:position w:val="0"/>
          <w:shd w:val="clear" w:color="auto" w:fill="auto"/>
          <w:lang w:val="en-US" w:eastAsia="en-US" w:bidi="en-US"/>
        </w:rPr>
        <w:t xml:space="preserve"> xi. 14, 23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which are much too close to be accidental, and in which the theory that Ovid was the imitator is excluded by the fact that the lines are much more appropriate to their surroundings in Ovid than in Lygdamus. In consequence Baehrens ( </w:t>
      </w:r>
      <w:r>
        <w:rPr>
          <w:color w:val="000000"/>
          <w:spacing w:val="0"/>
          <w:w w:val="100"/>
          <w:position w:val="0"/>
          <w:shd w:val="clear" w:color="auto" w:fill="auto"/>
          <w:lang w:val="en-US" w:eastAsia="en-US" w:bidi="en-US"/>
        </w:rPr>
        <w:t xml:space="preserve">Tib. Bl., </w:t>
      </w:r>
      <w:r>
        <w:rPr>
          <w:i w:val="0"/>
          <w:iCs w:val="0"/>
          <w:color w:val="000000"/>
          <w:spacing w:val="0"/>
          <w:w w:val="100"/>
          <w:position w:val="0"/>
          <w:shd w:val="clear" w:color="auto" w:fill="auto"/>
          <w:lang w:val="en-US" w:eastAsia="en-US" w:bidi="en-US"/>
        </w:rPr>
        <w:t xml:space="preserve">40) regards the poem as written after 13 </w:t>
      </w:r>
      <w:r>
        <w:rPr>
          <w:i w:val="0"/>
          <w:iCs w:val="0"/>
          <w:smallCaps/>
          <w:color w:val="000000"/>
          <w:spacing w:val="0"/>
          <w:w w:val="100"/>
          <w:position w:val="0"/>
          <w:shd w:val="clear" w:color="auto" w:fill="auto"/>
          <w:lang w:val="en-US" w:eastAsia="en-US" w:bidi="en-US"/>
        </w:rPr>
        <w:t>a.d.,</w:t>
      </w:r>
      <w:r>
        <w:rPr>
          <w:i w:val="0"/>
          <w:iCs w:val="0"/>
          <w:color w:val="000000"/>
          <w:spacing w:val="0"/>
          <w:w w:val="100"/>
          <w:position w:val="0"/>
          <w:shd w:val="clear" w:color="auto" w:fill="auto"/>
          <w:lang w:val="en-US" w:eastAsia="en-US" w:bidi="en-US"/>
        </w:rPr>
        <w:t xml:space="preserve"> the date of the </w:t>
      </w:r>
      <w:r>
        <w:rPr>
          <w:color w:val="000000"/>
          <w:spacing w:val="0"/>
          <w:w w:val="100"/>
          <w:position w:val="0"/>
          <w:shd w:val="clear" w:color="auto" w:fill="auto"/>
          <w:lang w:val="la-001" w:eastAsia="la-001" w:bidi="la-001"/>
        </w:rPr>
        <w:t>Tristia,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while Hiller (</w:t>
      </w:r>
      <w:r>
        <w:rPr>
          <w:color w:val="000000"/>
          <w:spacing w:val="0"/>
          <w:w w:val="100"/>
          <w:position w:val="0"/>
          <w:shd w:val="clear" w:color="auto" w:fill="auto"/>
          <w:lang w:val="en-US" w:eastAsia="en-US" w:bidi="en-US"/>
        </w:rPr>
        <w:t>l.c.,</w:t>
      </w:r>
      <w:r>
        <w:rPr>
          <w:i w:val="0"/>
          <w:iCs w:val="0"/>
          <w:color w:val="000000"/>
          <w:spacing w:val="0"/>
          <w:w w:val="100"/>
          <w:position w:val="0"/>
          <w:shd w:val="clear" w:color="auto" w:fill="auto"/>
          <w:lang w:val="en-US" w:eastAsia="en-US" w:bidi="en-US"/>
        </w:rPr>
        <w:t xml:space="preserve"> p. 359) regards the lines as a later addi</w:t>
        <w:softHyphen/>
        <w:t>tion by Lygdamus himself. In either case it would be published after 13. The line quoted above may have obtained proverbial currency before either of the passages was written, as the death of both consuls in one year would have impressed the Roman imagina</w:t>
        <w:softHyphen/>
        <w:t xml:space="preserve">tion as powerfully as the coincident deaths of Adams and Jefferson did the American. In that case no part of book iii. need be later than the Christian era. For Lygdamus’s imitations of Tibullus, see </w:t>
      </w:r>
      <w:r>
        <w:rPr>
          <w:i w:val="0"/>
          <w:iCs w:val="0"/>
          <w:color w:val="000000"/>
          <w:spacing w:val="0"/>
          <w:w w:val="100"/>
          <w:position w:val="0"/>
          <w:shd w:val="clear" w:color="auto" w:fill="auto"/>
          <w:lang w:val="de-DE" w:eastAsia="de-DE" w:bidi="de-DE"/>
        </w:rPr>
        <w:t xml:space="preserve">Gruppe,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römische Elegie,</w:t>
      </w:r>
      <w:r>
        <w:rPr>
          <w:i w:val="0"/>
          <w:iCs w:val="0"/>
          <w:color w:val="000000"/>
          <w:spacing w:val="0"/>
          <w:w w:val="100"/>
          <w:position w:val="0"/>
          <w:shd w:val="clear" w:color="auto" w:fill="auto"/>
          <w:lang w:val="de-DE" w:eastAsia="de-DE" w:bidi="de-DE"/>
        </w:rPr>
        <w:t xml:space="preserve"> i.</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112 </w:t>
      </w:r>
      <w:r>
        <w:rPr>
          <w:color w:val="000000"/>
          <w:spacing w:val="0"/>
          <w:w w:val="100"/>
          <w:position w:val="0"/>
          <w:shd w:val="clear" w:color="auto" w:fill="auto"/>
          <w:lang w:val="la-001" w:eastAsia="la-001" w:bidi="la-001"/>
        </w:rPr>
        <w:t>sq.</w:t>
      </w:r>
      <w:r>
        <w:rPr>
          <w:i w:val="0"/>
          <w:iCs w:val="0"/>
          <w:color w:val="000000"/>
          <w:spacing w:val="0"/>
          <w:w w:val="100"/>
          <w:position w:val="0"/>
          <w:shd w:val="clear" w:color="auto" w:fill="auto"/>
          <w:lang w:val="la-001" w:eastAsia="la-001" w:bidi="la-001"/>
        </w:rPr>
        <w:t xml:space="preserve"> There </w:t>
      </w:r>
      <w:r>
        <w:rPr>
          <w:i w:val="0"/>
          <w:iCs w:val="0"/>
          <w:color w:val="000000"/>
          <w:spacing w:val="0"/>
          <w:w w:val="100"/>
          <w:position w:val="0"/>
          <w:shd w:val="clear" w:color="auto" w:fill="auto"/>
          <w:lang w:val="en-US" w:eastAsia="en-US" w:bidi="en-US"/>
        </w:rPr>
        <w:t xml:space="preserve">are resemblances between the </w:t>
      </w:r>
      <w:r>
        <w:rPr>
          <w:i w:val="0"/>
          <w:iCs w:val="0"/>
          <w:color w:val="000000"/>
          <w:spacing w:val="0"/>
          <w:w w:val="100"/>
          <w:position w:val="0"/>
          <w:shd w:val="clear" w:color="auto" w:fill="auto"/>
          <w:lang w:val="la-001" w:eastAsia="la-001" w:bidi="la-001"/>
        </w:rPr>
        <w:t xml:space="preserve">pseudo-Tibullus </w:t>
      </w:r>
      <w:r>
        <w:rPr>
          <w:i w:val="0"/>
          <w:iCs w:val="0"/>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en-US" w:eastAsia="en-US" w:bidi="en-US"/>
        </w:rPr>
        <w:t>Catalepton</w:t>
      </w:r>
      <w:r>
        <w:rPr>
          <w:i w:val="0"/>
          <w:iCs w:val="0"/>
          <w:color w:val="000000"/>
          <w:spacing w:val="0"/>
          <w:w w:val="100"/>
          <w:position w:val="0"/>
          <w:shd w:val="clear" w:color="auto" w:fill="auto"/>
          <w:lang w:val="en-US" w:eastAsia="en-US" w:bidi="en-US"/>
        </w:rPr>
        <w:t xml:space="preserve"> (Baehr.,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p. 52).—The view of Baehrens (</w:t>
      </w:r>
      <w:r>
        <w:rPr>
          <w:color w:val="000000"/>
          <w:spacing w:val="0"/>
          <w:w w:val="100"/>
          <w:position w:val="0"/>
          <w:shd w:val="clear" w:color="auto" w:fill="auto"/>
          <w:lang w:val="en-US" w:eastAsia="en-US" w:bidi="en-US"/>
        </w:rPr>
        <w:t>Tib. Bl</w:t>
      </w:r>
      <w:r>
        <w:rPr>
          <w:color w:val="000000"/>
          <w:spacing w:val="0"/>
          <w:w w:val="100"/>
          <w:position w:val="0"/>
          <w:shd w:val="clear" w:color="auto" w:fill="auto"/>
          <w:lang w:val="en-US" w:eastAsia="en-US" w:bidi="en-US"/>
        </w:rPr>
        <w:t>ä</w:t>
      </w:r>
      <w:r>
        <w:rPr>
          <w:color w:val="000000"/>
          <w:spacing w:val="0"/>
          <w:w w:val="100"/>
          <w:position w:val="0"/>
          <w:shd w:val="clear" w:color="auto" w:fill="auto"/>
          <w:lang w:val="en-US" w:eastAsia="en-US" w:bidi="en-US"/>
        </w:rPr>
        <w:t>tt.,</w:t>
      </w:r>
      <w:r>
        <w:rPr>
          <w:i w:val="0"/>
          <w:iCs w:val="0"/>
          <w:color w:val="000000"/>
          <w:spacing w:val="0"/>
          <w:w w:val="100"/>
          <w:position w:val="0"/>
          <w:shd w:val="clear" w:color="auto" w:fill="auto"/>
          <w:lang w:val="en-US" w:eastAsia="en-US" w:bidi="en-US"/>
        </w:rPr>
        <w:t xml:space="preserve"> 49) and others that iii. and iv. originally formed one book may now be considered estab</w:t>
        <w:softHyphen/>
        <w:t>lished, in spite of Birt’s objections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de-DE" w:eastAsia="de-DE" w:bidi="de-DE"/>
        </w:rPr>
        <w:t>antike Buchwesen,</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426 </w:t>
      </w:r>
      <w:r>
        <w:rPr>
          <w:color w:val="000000"/>
          <w:spacing w:val="0"/>
          <w:w w:val="100"/>
          <w:position w:val="0"/>
          <w:shd w:val="clear" w:color="auto" w:fill="auto"/>
          <w:lang w:val="la-001" w:eastAsia="la-001" w:bidi="la-001"/>
        </w:rPr>
        <w:t xml:space="preserve">sq.) </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and Hiller in his edition prints them as one. They were published some time after book ii., probably after the death of Messala (Baeh</w:t>
        <w:softHyphen/>
        <w:t xml:space="preserve">rens,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48, adds, “and of his son Messalinus ’). Further determination of the date is impossible. We do not know when they were added to the genuine poems of Tibullus ; but it was prob</w:t>
        <w:softHyphen/>
        <w:t xml:space="preserve">ably before the </w:t>
      </w:r>
      <w:r>
        <w:rPr>
          <w:color w:val="000000"/>
          <w:spacing w:val="0"/>
          <w:w w:val="100"/>
          <w:position w:val="0"/>
          <w:shd w:val="clear" w:color="auto" w:fill="auto"/>
          <w:lang w:val="en-US" w:eastAsia="en-US" w:bidi="en-US"/>
        </w:rPr>
        <w:t>Life</w:t>
      </w:r>
      <w:r>
        <w:rPr>
          <w:i w:val="0"/>
          <w:iCs w:val="0"/>
          <w:color w:val="000000"/>
          <w:spacing w:val="0"/>
          <w:w w:val="100"/>
          <w:position w:val="0"/>
          <w:shd w:val="clear" w:color="auto" w:fill="auto"/>
          <w:lang w:val="en-US" w:eastAsia="en-US" w:bidi="en-US"/>
        </w:rPr>
        <w:t xml:space="preserve"> was written.—Most scholars since Lachmann (</w:t>
      </w:r>
      <w:r>
        <w:rPr>
          <w:color w:val="000000"/>
          <w:spacing w:val="0"/>
          <w:w w:val="100"/>
          <w:position w:val="0"/>
          <w:shd w:val="clear" w:color="auto" w:fill="auto"/>
          <w:lang w:val="de-DE" w:eastAsia="de-DE" w:bidi="de-DE"/>
        </w:rPr>
        <w:t>Kl. Schr.,</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ii. 149) have condemned the “Panegyric on Messala.” It is an inflated and at the same time tasteless declamation, entirely devoid of poetical merit. The language is often absurdly exagger</w:t>
        <w:softHyphen/>
        <w:t xml:space="preserve">ated,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190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author himself seems to be conscious of his own deficiencies (1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177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All that we know about him is that he, like so many of his contemporaries, had been reduced to poverty by the loss of his estates (181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date is fixed by 121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la-001" w:eastAsia="la-001" w:bidi="la-001"/>
        </w:rPr>
        <w:t xml:space="preserve">Sulpicia </w:t>
      </w:r>
      <w:r>
        <w:rPr>
          <w:i w:val="0"/>
          <w:iCs w:val="0"/>
          <w:color w:val="000000"/>
          <w:spacing w:val="0"/>
          <w:w w:val="100"/>
          <w:position w:val="0"/>
          <w:shd w:val="clear" w:color="auto" w:fill="auto"/>
          <w:lang w:val="en-US" w:eastAsia="en-US" w:bidi="en-US"/>
        </w:rPr>
        <w:t xml:space="preserve">was the daughter of Servius </w:t>
      </w:r>
      <w:r>
        <w:rPr>
          <w:i w:val="0"/>
          <w:iCs w:val="0"/>
          <w:color w:val="000000"/>
          <w:spacing w:val="0"/>
          <w:w w:val="100"/>
          <w:position w:val="0"/>
          <w:shd w:val="clear" w:color="auto" w:fill="auto"/>
          <w:lang w:val="la-001" w:eastAsia="la-001" w:bidi="la-001"/>
        </w:rPr>
        <w:t xml:space="preserve">Sulpicius </w:t>
      </w:r>
      <w:r>
        <w:rPr>
          <w:i w:val="0"/>
          <w:iCs w:val="0"/>
          <w:color w:val="000000"/>
          <w:spacing w:val="0"/>
          <w:w w:val="100"/>
          <w:position w:val="0"/>
          <w:shd w:val="clear" w:color="auto" w:fill="auto"/>
          <w:lang w:val="en-US" w:eastAsia="en-US" w:bidi="en-US"/>
        </w:rPr>
        <w:t xml:space="preserve">(iv. 10, 4), and she seems to have been under the tutelage of Messala (cf. 14, 5-8), her uncle by marriage (Haupt, </w:t>
      </w:r>
      <w:r>
        <w:rPr>
          <w:color w:val="000000"/>
          <w:spacing w:val="0"/>
          <w:w w:val="100"/>
          <w:position w:val="0"/>
          <w:shd w:val="clear" w:color="auto" w:fill="auto"/>
          <w:lang w:val="en-US" w:eastAsia="en-US" w:bidi="en-US"/>
        </w:rPr>
        <w:t>Hermes,</w:t>
      </w:r>
      <w:r>
        <w:rPr>
          <w:i w:val="0"/>
          <w:iCs w:val="0"/>
          <w:color w:val="000000"/>
          <w:spacing w:val="0"/>
          <w:w w:val="100"/>
          <w:position w:val="0"/>
          <w:shd w:val="clear" w:color="auto" w:fill="auto"/>
          <w:lang w:val="en-US" w:eastAsia="en-US" w:bidi="en-US"/>
        </w:rPr>
        <w:t xml:space="preserve"> iv. 33 </w:t>
      </w:r>
      <w:r>
        <w:rPr>
          <w:color w:val="000000"/>
          <w:spacing w:val="0"/>
          <w:w w:val="100"/>
          <w:position w:val="0"/>
          <w:shd w:val="clear" w:color="auto" w:fill="auto"/>
          <w:lang w:val="la-001" w:eastAsia="la-001" w:bidi="la-001"/>
        </w:rPr>
        <w:t>sq.).</w:t>
      </w:r>
      <w:r>
        <w:rPr>
          <w:i w:val="0"/>
          <w:iCs w:val="0"/>
          <w:color w:val="000000"/>
          <w:spacing w:val="0"/>
          <w:w w:val="100"/>
          <w:position w:val="0"/>
          <w:shd w:val="clear" w:color="auto" w:fill="auto"/>
          <w:lang w:val="la-001" w:eastAsia="la-001" w:bidi="la-001"/>
        </w:rPr>
        <w:t xml:space="preserve"> Cerin</w:t>
        <w:softHyphen/>
        <w:t xml:space="preserve">thus </w:t>
      </w:r>
      <w:r>
        <w:rPr>
          <w:i w:val="0"/>
          <w:iCs w:val="0"/>
          <w:color w:val="000000"/>
          <w:spacing w:val="0"/>
          <w:w w:val="100"/>
          <w:position w:val="0"/>
          <w:shd w:val="clear" w:color="auto" w:fill="auto"/>
          <w:lang w:val="en-US" w:eastAsia="en-US" w:bidi="en-US"/>
        </w:rPr>
        <w:t xml:space="preserve">is a real name. He was probably a Greek (Baehr., p. 41 and note). He is not to be identified with the </w:t>
      </w:r>
      <w:r>
        <w:rPr>
          <w:i w:val="0"/>
          <w:iCs w:val="0"/>
          <w:color w:val="000000"/>
          <w:spacing w:val="0"/>
          <w:w w:val="100"/>
          <w:position w:val="0"/>
          <w:shd w:val="clear" w:color="auto" w:fill="auto"/>
          <w:lang w:val="la-001" w:eastAsia="la-001" w:bidi="la-001"/>
        </w:rPr>
        <w:t xml:space="preserve">Cornutus </w:t>
      </w:r>
      <w:r>
        <w:rPr>
          <w:i w:val="0"/>
          <w:iCs w:val="0"/>
          <w:color w:val="000000"/>
          <w:spacing w:val="0"/>
          <w:w w:val="100"/>
          <w:position w:val="0"/>
          <w:shd w:val="clear" w:color="auto" w:fill="auto"/>
          <w:lang w:val="en-US" w:eastAsia="en-US" w:bidi="en-US"/>
        </w:rPr>
        <w:t xml:space="preserve">addressed in Tib., ii. 2, 3. </w:t>
      </w:r>
      <w:r>
        <w:rPr>
          <w:i w:val="0"/>
          <w:iCs w:val="0"/>
          <w:color w:val="000000"/>
          <w:spacing w:val="0"/>
          <w:w w:val="100"/>
          <w:position w:val="0"/>
          <w:shd w:val="clear" w:color="auto" w:fill="auto"/>
          <w:lang w:val="de-DE" w:eastAsia="de-DE" w:bidi="de-DE"/>
        </w:rPr>
        <w:t>Gruppe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27) and Teuffel (</w:t>
      </w:r>
      <w:r>
        <w:rPr>
          <w:color w:val="000000"/>
          <w:spacing w:val="0"/>
          <w:w w:val="100"/>
          <w:position w:val="0"/>
          <w:shd w:val="clear" w:color="auto" w:fill="auto"/>
          <w:lang w:val="en-US" w:eastAsia="en-US" w:bidi="en-US"/>
        </w:rPr>
        <w:t>Studien,</w:t>
      </w:r>
      <w:r>
        <w:rPr>
          <w:i w:val="0"/>
          <w:iCs w:val="0"/>
          <w:color w:val="000000"/>
          <w:spacing w:val="0"/>
          <w:w w:val="100"/>
          <w:position w:val="0"/>
          <w:shd w:val="clear" w:color="auto" w:fill="auto"/>
          <w:lang w:val="en-US" w:eastAsia="en-US" w:bidi="en-US"/>
        </w:rPr>
        <w:t xml:space="preserve"> 367) attri</w:t>
        <w:softHyphen/>
        <w:t xml:space="preserve">bute iv. 2-6 to Tibullus himself ; but the style is different, and it is best to answer the question as Baehrens does (p. 46) with a </w:t>
      </w:r>
      <w:r>
        <w:rPr>
          <w:color w:val="000000"/>
          <w:spacing w:val="0"/>
          <w:w w:val="100"/>
          <w:position w:val="0"/>
          <w:shd w:val="clear" w:color="auto" w:fill="auto"/>
          <w:lang w:val="en-US" w:eastAsia="en-US" w:bidi="en-US"/>
        </w:rPr>
        <w:t>non liquet.</w:t>
      </w:r>
      <w:r>
        <w:rPr>
          <w:i w:val="0"/>
          <w:iCs w:val="0"/>
          <w:color w:val="000000"/>
          <w:spacing w:val="0"/>
          <w:w w:val="100"/>
          <w:position w:val="0"/>
          <w:shd w:val="clear" w:color="auto" w:fill="auto"/>
          <w:lang w:val="en-US" w:eastAsia="en-US" w:bidi="en-US"/>
        </w:rPr>
        <w:t xml:space="preserve"> For Sulpicia’s style and its feminine Latinity, compare </w:t>
      </w:r>
      <w:r>
        <w:rPr>
          <w:i w:val="0"/>
          <w:iCs w:val="0"/>
          <w:color w:val="000000"/>
          <w:spacing w:val="0"/>
          <w:w w:val="100"/>
          <w:position w:val="0"/>
          <w:shd w:val="clear" w:color="auto" w:fill="auto"/>
          <w:lang w:val="de-DE" w:eastAsia="de-DE" w:bidi="de-DE"/>
        </w:rPr>
        <w:t>Gruppe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i. 49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The direct ascription of iv. 13 (verse 13—“ nunc licet </w:t>
      </w:r>
      <w:r>
        <w:rPr>
          <w:i w:val="0"/>
          <w:iCs w:val="0"/>
          <w:color w:val="000000"/>
          <w:spacing w:val="0"/>
          <w:w w:val="100"/>
          <w:position w:val="0"/>
          <w:shd w:val="clear" w:color="auto" w:fill="auto"/>
          <w:lang w:val="la-001" w:eastAsia="la-001" w:bidi="la-001"/>
        </w:rPr>
        <w:t xml:space="preserve">e caelo mittatur amica Tibullo ”) </w:t>
      </w:r>
      <w:r>
        <w:rPr>
          <w:i w:val="0"/>
          <w:iCs w:val="0"/>
          <w:color w:val="000000"/>
          <w:spacing w:val="0"/>
          <w:w w:val="100"/>
          <w:position w:val="0"/>
          <w:shd w:val="clear" w:color="auto" w:fill="auto"/>
          <w:lang w:val="en-US" w:eastAsia="en-US" w:bidi="en-US"/>
        </w:rPr>
        <w:t xml:space="preserve">to </w:t>
      </w:r>
      <w:r>
        <w:rPr>
          <w:i w:val="0"/>
          <w:iCs w:val="0"/>
          <w:color w:val="000000"/>
          <w:spacing w:val="0"/>
          <w:w w:val="100"/>
          <w:position w:val="0"/>
          <w:shd w:val="clear" w:color="auto" w:fill="auto"/>
          <w:lang w:val="la-001" w:eastAsia="la-001" w:bidi="la-001"/>
        </w:rPr>
        <w:t xml:space="preserve">Tibullus </w:t>
      </w:r>
      <w:r>
        <w:rPr>
          <w:i w:val="0"/>
          <w:iCs w:val="0"/>
          <w:color w:val="000000"/>
          <w:spacing w:val="0"/>
          <w:w w:val="100"/>
          <w:position w:val="0"/>
          <w:shd w:val="clear" w:color="auto" w:fill="auto"/>
          <w:lang w:val="en-US" w:eastAsia="en-US" w:bidi="en-US"/>
        </w:rPr>
        <w:t>prob</w:t>
        <w:softHyphen/>
        <w:t>ably led to its being included in the collection. Later on, it and</w:t>
      </w:r>
    </w:p>
    <w:sectPr>
      <w:footnotePr>
        <w:pos w:val="pageBottom"/>
        <w:numFmt w:val="decimal"/>
        <w:numRestart w:val="continuous"/>
      </w:footnotePr>
      <w:pgSz w:w="12240" w:h="16840"/>
      <w:pgMar w:top="2065" w:left="1703" w:right="1565" w:bottom="16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