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tion has not yet been reached, each family circle living apart and combining only in small groups against some common enemy, but recognizing no hereditary chief or even any temporary leader. Yet the missionaries, who have reduced the language to writing (Gospel of St Luke, London, 1881), assert that it contains no less than 30,000 words, although the numerals stop at </w:t>
      </w:r>
      <w:r>
        <w:rPr>
          <w:color w:val="000000"/>
          <w:spacing w:val="0"/>
          <w:w w:val="100"/>
          <w:position w:val="0"/>
          <w:shd w:val="clear" w:color="auto" w:fill="auto"/>
          <w:lang w:val="en-US" w:eastAsia="en-US" w:bidi="en-US"/>
        </w:rPr>
        <w:t>five,</w:t>
      </w:r>
      <w:r>
        <w:rPr>
          <w:i w:val="0"/>
          <w:iCs w:val="0"/>
          <w:color w:val="000000"/>
          <w:spacing w:val="0"/>
          <w:w w:val="100"/>
          <w:position w:val="0"/>
          <w:shd w:val="clear" w:color="auto" w:fill="auto"/>
          <w:lang w:val="en-US" w:eastAsia="en-US" w:bidi="en-US"/>
        </w:rPr>
        <w:t xml:space="preserve"> already a compound form </w:t>
      </w:r>
      <w:r>
        <w:rPr>
          <w:color w:val="000000"/>
          <w:spacing w:val="0"/>
          <w:w w:val="100"/>
          <w:position w:val="0"/>
          <w:shd w:val="clear" w:color="auto" w:fill="auto"/>
          <w:lang w:val="en-US" w:eastAsia="en-US" w:bidi="en-US"/>
        </w:rPr>
        <w:t>(cu-pash-pa),</w:t>
      </w:r>
      <w:r>
        <w:rPr>
          <w:i w:val="0"/>
          <w:iCs w:val="0"/>
          <w:color w:val="000000"/>
          <w:spacing w:val="0"/>
          <w:w w:val="100"/>
          <w:position w:val="0"/>
          <w:shd w:val="clear" w:color="auto" w:fill="auto"/>
          <w:lang w:val="en-US" w:eastAsia="en-US" w:bidi="en-US"/>
        </w:rPr>
        <w:t xml:space="preserve"> and although the same word expresses both </w:t>
      </w:r>
      <w:r>
        <w:rPr>
          <w:color w:val="000000"/>
          <w:spacing w:val="0"/>
          <w:w w:val="100"/>
          <w:position w:val="0"/>
          <w:shd w:val="clear" w:color="auto" w:fill="auto"/>
          <w:lang w:val="en-US" w:eastAsia="en-US" w:bidi="en-US"/>
        </w:rPr>
        <w:t xml:space="preserve">hand </w:t>
      </w:r>
      <w:r>
        <w:rPr>
          <w:i w:val="0"/>
          <w:iCs w:val="0"/>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finger.</w:t>
      </w:r>
      <w:r>
        <w:rPr>
          <w:i w:val="0"/>
          <w:iCs w:val="0"/>
          <w:color w:val="000000"/>
          <w:spacing w:val="0"/>
          <w:w w:val="100"/>
          <w:position w:val="0"/>
          <w:shd w:val="clear" w:color="auto" w:fill="auto"/>
          <w:lang w:val="en-US" w:eastAsia="en-US" w:bidi="en-US"/>
        </w:rPr>
        <w:t xml:space="preserve"> But they have obviously failed to distinguish between distinct terms and the endless grammatical intricacies in which this, like so many other rude forms of speech, is still involved.</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Since 1881 the eastern portion of Fuegia (with Staten Island) has belonged to the Argentine Republic and the western to Chili. The boundary line, which is purely conventional, runs from Cape Espiritu Santo due south to Beagle. Channel. Neither power has hitherto occupied any part of Fuegia, except Punta Arenas (Sandy Point) on the Patagonian side of Magellan Strait, where the Chilians have for some years maintained a convict and coaling station.</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Fuegia was discovered by Magellan in 1520, when he sailed through the strait named after him, and called this region the “Land of Fire,” either from now extinct volcanic flames, or much more probably from the fires kindled by the natives along parts of his course. In 1578 Drake first sighted the point which in 1616 was named Cape Hoorn (Anglicized Horn) by the Dutch navi</w:t>
        <w:softHyphen/>
        <w:t xml:space="preserve">gators Lemaire and Schouten. In 1619 the brothers Nodal first circumnavigated the archipelago, which was afterwards visited at intervals by Wood and Narborough (1670), Gennes and Froger (1696), Byron (1764), Wallis and Carteret (1767), Cook (1768), and Weddell (1822). But no systematic exploration was attempted until the British Admiralty undertook a thorough survey of the whole group by King (1826-28) and Fitzroy (1831-36). The latter expedition </w:t>
      </w:r>
      <w:r>
        <w:rPr>
          <w:color w:val="000000"/>
          <w:spacing w:val="0"/>
          <w:w w:val="100"/>
          <w:position w:val="0"/>
          <w:shd w:val="clear" w:color="auto" w:fill="auto"/>
          <w:lang w:val="en-US" w:eastAsia="en-US" w:bidi="en-US"/>
        </w:rPr>
        <w:t>(Voyage of the “ Beagle”)</w:t>
      </w:r>
      <w:r>
        <w:rPr>
          <w:i w:val="0"/>
          <w:iCs w:val="0"/>
          <w:color w:val="000000"/>
          <w:spacing w:val="0"/>
          <w:w w:val="100"/>
          <w:position w:val="0"/>
          <w:shd w:val="clear" w:color="auto" w:fill="auto"/>
          <w:lang w:val="en-US" w:eastAsia="en-US" w:bidi="en-US"/>
        </w:rPr>
        <w:t xml:space="preserve"> was accompanied by Charles Darwin, then a young man. To these admirable surveys is due most of the present geographical terminology of the archipelago. Since then the work of exploration has been continued and nearly completed by Dumont d’Urville (1837), Charles Wilkes (1839), Parker Snow (1855), Bove (1883), and various English, American, and Roman Catholic missionaries.</w:t>
      </w:r>
    </w:p>
    <w:p>
      <w:pPr>
        <w:pStyle w:val="Style6"/>
        <w:keepNext w:val="0"/>
        <w:keepLines w:val="0"/>
        <w:widowControl w:val="0"/>
        <w:shd w:val="clear" w:color="auto" w:fill="auto"/>
        <w:bidi w:val="0"/>
        <w:spacing w:line="199" w:lineRule="auto"/>
        <w:ind w:left="0" w:firstLine="360"/>
        <w:jc w:val="left"/>
      </w:pPr>
      <w:r>
        <w:rPr>
          <w:i/>
          <w:iCs/>
          <w:color w:val="000000"/>
          <w:spacing w:val="0"/>
          <w:w w:val="100"/>
          <w:position w:val="0"/>
          <w:shd w:val="clear" w:color="auto" w:fill="auto"/>
          <w:lang w:val="en-US" w:eastAsia="en-US" w:bidi="en-US"/>
        </w:rPr>
        <w:t>Bibliography.—</w:t>
      </w:r>
      <w:r>
        <w:rPr>
          <w:color w:val="000000"/>
          <w:spacing w:val="0"/>
          <w:w w:val="100"/>
          <w:position w:val="0"/>
          <w:shd w:val="clear" w:color="auto" w:fill="auto"/>
          <w:lang w:val="fr-FR" w:eastAsia="fr-FR" w:bidi="fr-FR"/>
        </w:rPr>
        <w:t xml:space="preserve">De Brosses, </w:t>
      </w:r>
      <w:r>
        <w:rPr>
          <w:i/>
          <w:iCs/>
          <w:color w:val="000000"/>
          <w:spacing w:val="0"/>
          <w:w w:val="100"/>
          <w:position w:val="0"/>
          <w:shd w:val="clear" w:color="auto" w:fill="auto"/>
          <w:lang w:val="fr-FR" w:eastAsia="fr-FR" w:bidi="fr-FR"/>
        </w:rPr>
        <w:t xml:space="preserve">Histoire </w:t>
      </w:r>
      <w:r>
        <w:rPr>
          <w:i/>
          <w:iCs/>
          <w:color w:val="000000"/>
          <w:spacing w:val="0"/>
          <w:w w:val="100"/>
          <w:position w:val="0"/>
          <w:shd w:val="clear" w:color="auto" w:fill="auto"/>
          <w:lang w:val="en-US" w:eastAsia="en-US" w:bidi="en-US"/>
        </w:rPr>
        <w:t xml:space="preserve">des Navigations </w:t>
      </w:r>
      <w:r>
        <w:rPr>
          <w:i/>
          <w:iCs/>
          <w:color w:val="000000"/>
          <w:spacing w:val="0"/>
          <w:w w:val="100"/>
          <w:position w:val="0"/>
          <w:shd w:val="clear" w:color="auto" w:fill="auto"/>
          <w:lang w:val="fr-FR" w:eastAsia="fr-FR" w:bidi="fr-FR"/>
        </w:rPr>
        <w:t>aux Terres Australes,</w:t>
      </w:r>
      <w:r>
        <w:rPr>
          <w:color w:val="000000"/>
          <w:spacing w:val="0"/>
          <w:w w:val="100"/>
          <w:position w:val="0"/>
          <w:shd w:val="clear" w:color="auto" w:fill="auto"/>
          <w:lang w:val="fr-FR" w:eastAsia="fr-FR" w:bidi="fr-FR"/>
        </w:rPr>
        <w:t xml:space="preserve"> Paris, </w:t>
      </w:r>
      <w:r>
        <w:rPr>
          <w:color w:val="000000"/>
          <w:spacing w:val="0"/>
          <w:w w:val="100"/>
          <w:position w:val="0"/>
          <w:shd w:val="clear" w:color="auto" w:fill="auto"/>
          <w:lang w:val="en-US" w:eastAsia="en-US" w:bidi="en-US"/>
        </w:rPr>
        <w:t xml:space="preserve">1756 </w:t>
      </w:r>
      <w:r>
        <w:rPr>
          <w:color w:val="000000"/>
          <w:spacing w:val="0"/>
          <w:w w:val="100"/>
          <w:position w:val="0"/>
          <w:shd w:val="clear" w:color="auto" w:fill="auto"/>
          <w:lang w:val="fr-FR" w:eastAsia="fr-FR" w:bidi="fr-FR"/>
        </w:rPr>
        <w:t xml:space="preserve">; J. </w:t>
      </w:r>
      <w:r>
        <w:rPr>
          <w:color w:val="000000"/>
          <w:spacing w:val="0"/>
          <w:w w:val="100"/>
          <w:position w:val="0"/>
          <w:shd w:val="clear" w:color="auto" w:fill="auto"/>
          <w:lang w:val="en-US" w:eastAsia="en-US" w:bidi="en-US"/>
        </w:rPr>
        <w:t xml:space="preserve">Burney, </w:t>
      </w:r>
      <w:r>
        <w:rPr>
          <w:i/>
          <w:iCs/>
          <w:color w:val="000000"/>
          <w:spacing w:val="0"/>
          <w:w w:val="100"/>
          <w:position w:val="0"/>
          <w:shd w:val="clear" w:color="auto" w:fill="auto"/>
          <w:lang w:val="en-US" w:eastAsia="en-US" w:bidi="en-US"/>
        </w:rPr>
        <w:t xml:space="preserve">History of </w:t>
      </w:r>
      <w:r>
        <w:rPr>
          <w:i/>
          <w:iCs/>
          <w:color w:val="000000"/>
          <w:spacing w:val="0"/>
          <w:w w:val="100"/>
          <w:position w:val="0"/>
          <w:shd w:val="clear" w:color="auto" w:fill="auto"/>
          <w:lang w:val="fr-FR" w:eastAsia="fr-FR" w:bidi="fr-FR"/>
        </w:rPr>
        <w:t xml:space="preserve">Voyages </w:t>
      </w:r>
      <w:r>
        <w:rPr>
          <w:i/>
          <w:iCs/>
          <w:color w:val="000000"/>
          <w:spacing w:val="0"/>
          <w:w w:val="100"/>
          <w:position w:val="0"/>
          <w:shd w:val="clear" w:color="auto" w:fill="auto"/>
          <w:lang w:val="en-US" w:eastAsia="en-US" w:bidi="en-US"/>
        </w:rPr>
        <w:t>and Discoveries in the South Sea,</w:t>
      </w:r>
      <w:r>
        <w:rPr>
          <w:color w:val="000000"/>
          <w:spacing w:val="0"/>
          <w:w w:val="100"/>
          <w:position w:val="0"/>
          <w:shd w:val="clear" w:color="auto" w:fill="auto"/>
          <w:lang w:val="en-US" w:eastAsia="en-US" w:bidi="en-US"/>
        </w:rPr>
        <w:t xml:space="preserve"> London, 1803-17 ; J. Weddell, </w:t>
      </w:r>
      <w:r>
        <w:rPr>
          <w:i/>
          <w:iCs/>
          <w:color w:val="000000"/>
          <w:spacing w:val="0"/>
          <w:w w:val="100"/>
          <w:position w:val="0"/>
          <w:shd w:val="clear" w:color="auto" w:fill="auto"/>
          <w:lang w:val="en-US" w:eastAsia="en-US" w:bidi="en-US"/>
        </w:rPr>
        <w:t xml:space="preserve">A Voyage towards the South Pole and to Tierra del Fuego, </w:t>
      </w:r>
      <w:r>
        <w:rPr>
          <w:color w:val="000000"/>
          <w:spacing w:val="0"/>
          <w:w w:val="100"/>
          <w:position w:val="0"/>
          <w:shd w:val="clear" w:color="auto" w:fill="auto"/>
          <w:lang w:val="en-US" w:eastAsia="en-US" w:bidi="en-US"/>
        </w:rPr>
        <w:t xml:space="preserve">London, 1825 ; Charles Darwin, </w:t>
      </w:r>
      <w:r>
        <w:rPr>
          <w:i/>
          <w:iCs/>
          <w:color w:val="000000"/>
          <w:spacing w:val="0"/>
          <w:w w:val="100"/>
          <w:position w:val="0"/>
          <w:shd w:val="clear" w:color="auto" w:fill="auto"/>
          <w:lang w:val="en-US" w:eastAsia="en-US" w:bidi="en-US"/>
        </w:rPr>
        <w:t>Journal of Researches,</w:t>
      </w:r>
      <w:r>
        <w:rPr>
          <w:color w:val="000000"/>
          <w:spacing w:val="0"/>
          <w:w w:val="100"/>
          <w:position w:val="0"/>
          <w:shd w:val="clear" w:color="auto" w:fill="auto"/>
          <w:lang w:val="en-US" w:eastAsia="en-US" w:bidi="en-US"/>
        </w:rPr>
        <w:t xml:space="preserve"> &amp;c., </w:t>
      </w:r>
      <w:r>
        <w:rPr>
          <w:i/>
          <w:iCs/>
          <w:color w:val="000000"/>
          <w:spacing w:val="0"/>
          <w:w w:val="100"/>
          <w:position w:val="0"/>
          <w:shd w:val="clear" w:color="auto" w:fill="auto"/>
          <w:lang w:val="en-US" w:eastAsia="en-US" w:bidi="en-US"/>
        </w:rPr>
        <w:t>during the Voyage of the “ Beagle ” round the World,</w:t>
      </w:r>
      <w:r>
        <w:rPr>
          <w:color w:val="000000"/>
          <w:spacing w:val="0"/>
          <w:w w:val="100"/>
          <w:position w:val="0"/>
          <w:shd w:val="clear" w:color="auto" w:fill="auto"/>
          <w:lang w:val="en-US" w:eastAsia="en-US" w:bidi="en-US"/>
        </w:rPr>
        <w:t xml:space="preserve"> London, 1845 ; W. Parker Snow, </w:t>
      </w:r>
      <w:r>
        <w:rPr>
          <w:i/>
          <w:iCs/>
          <w:color w:val="000000"/>
          <w:spacing w:val="0"/>
          <w:w w:val="100"/>
          <w:position w:val="0"/>
          <w:shd w:val="clear" w:color="auto" w:fill="auto"/>
          <w:lang w:val="en-US" w:eastAsia="en-US" w:bidi="en-US"/>
        </w:rPr>
        <w:t>A Two Years’ Cruise off Tierra del Fuego,</w:t>
      </w:r>
      <w:r>
        <w:rPr>
          <w:color w:val="000000"/>
          <w:spacing w:val="0"/>
          <w:w w:val="100"/>
          <w:position w:val="0"/>
          <w:shd w:val="clear" w:color="auto" w:fill="auto"/>
          <w:lang w:val="en-US" w:eastAsia="en-US" w:bidi="en-US"/>
        </w:rPr>
        <w:t xml:space="preserve"> London, 1857 ; G. Marguin, “ La Terre de Feu," in </w:t>
      </w:r>
      <w:r>
        <w:rPr>
          <w:i/>
          <w:iCs/>
          <w:color w:val="000000"/>
          <w:spacing w:val="0"/>
          <w:w w:val="100"/>
          <w:position w:val="0"/>
          <w:shd w:val="clear" w:color="auto" w:fill="auto"/>
          <w:lang w:val="en-US" w:eastAsia="en-US" w:bidi="en-US"/>
        </w:rPr>
        <w:t xml:space="preserve">Bull. de la Soc. de </w:t>
      </w:r>
      <w:r>
        <w:rPr>
          <w:i/>
          <w:iCs/>
          <w:color w:val="000000"/>
          <w:spacing w:val="0"/>
          <w:w w:val="100"/>
          <w:position w:val="0"/>
          <w:shd w:val="clear" w:color="auto" w:fill="auto"/>
          <w:lang w:val="fr-FR" w:eastAsia="fr-FR" w:bidi="fr-FR"/>
        </w:rPr>
        <w:t>Géogr.,</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November 1875 ; J. G. Kohl, </w:t>
      </w:r>
      <w:r>
        <w:rPr>
          <w:i/>
          <w:iCs/>
          <w:color w:val="000000"/>
          <w:spacing w:val="0"/>
          <w:w w:val="100"/>
          <w:position w:val="0"/>
          <w:shd w:val="clear" w:color="auto" w:fill="auto"/>
          <w:lang w:val="en-US" w:eastAsia="en-US" w:bidi="en-US"/>
        </w:rPr>
        <w:t xml:space="preserve">Gesch. d. </w:t>
      </w:r>
      <w:r>
        <w:rPr>
          <w:i/>
          <w:iCs/>
          <w:color w:val="000000"/>
          <w:spacing w:val="0"/>
          <w:w w:val="100"/>
          <w:position w:val="0"/>
          <w:shd w:val="clear" w:color="auto" w:fill="auto"/>
          <w:lang w:val="de-DE" w:eastAsia="de-DE" w:bidi="de-DE"/>
        </w:rPr>
        <w:t>Entdeckungs</w:t>
        <w:softHyphen/>
        <w:t>reisen,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&amp;c., </w:t>
      </w:r>
      <w:r>
        <w:rPr>
          <w:i/>
          <w:iCs/>
          <w:color w:val="000000"/>
          <w:spacing w:val="0"/>
          <w:w w:val="100"/>
          <w:position w:val="0"/>
          <w:shd w:val="clear" w:color="auto" w:fill="auto"/>
          <w:lang w:val="de-DE" w:eastAsia="de-DE" w:bidi="de-DE"/>
        </w:rPr>
        <w:t xml:space="preserve">zur </w:t>
      </w:r>
      <w:r>
        <w:rPr>
          <w:i/>
          <w:iCs/>
          <w:color w:val="000000"/>
          <w:spacing w:val="0"/>
          <w:w w:val="100"/>
          <w:position w:val="0"/>
          <w:shd w:val="clear" w:color="auto" w:fill="auto"/>
          <w:lang w:val="en-US" w:eastAsia="en-US" w:bidi="en-US"/>
        </w:rPr>
        <w:t>Magellan's Strasse,</w:t>
      </w:r>
      <w:r>
        <w:rPr>
          <w:color w:val="000000"/>
          <w:spacing w:val="0"/>
          <w:w w:val="100"/>
          <w:position w:val="0"/>
          <w:shd w:val="clear" w:color="auto" w:fill="auto"/>
          <w:lang w:val="en-US" w:eastAsia="en-US" w:bidi="en-US"/>
        </w:rPr>
        <w:t xml:space="preserve"> Berlin, 1877 ; “La Terre </w:t>
      </w:r>
      <w:r>
        <w:rPr>
          <w:color w:val="000000"/>
          <w:spacing w:val="0"/>
          <w:w w:val="100"/>
          <w:position w:val="0"/>
          <w:shd w:val="clear" w:color="auto" w:fill="auto"/>
          <w:lang w:val="fr-FR" w:eastAsia="fr-FR" w:bidi="fr-FR"/>
        </w:rPr>
        <w:t xml:space="preserve">de Feu </w:t>
      </w:r>
      <w:r>
        <w:rPr>
          <w:color w:val="000000"/>
          <w:spacing w:val="0"/>
          <w:w w:val="100"/>
          <w:position w:val="0"/>
          <w:shd w:val="clear" w:color="auto" w:fill="auto"/>
          <w:lang w:val="en-US" w:eastAsia="en-US" w:bidi="en-US"/>
        </w:rPr>
        <w:t xml:space="preserve">et </w:t>
      </w:r>
      <w:r>
        <w:rPr>
          <w:color w:val="000000"/>
          <w:spacing w:val="0"/>
          <w:w w:val="100"/>
          <w:position w:val="0"/>
          <w:shd w:val="clear" w:color="auto" w:fill="auto"/>
          <w:lang w:val="fr-FR" w:eastAsia="fr-FR" w:bidi="fr-FR"/>
        </w:rPr>
        <w:t xml:space="preserve">ses </w:t>
      </w:r>
      <w:r>
        <w:rPr>
          <w:color w:val="000000"/>
          <w:spacing w:val="0"/>
          <w:w w:val="100"/>
          <w:position w:val="0"/>
          <w:shd w:val="clear" w:color="auto" w:fill="auto"/>
          <w:lang w:val="en-US" w:eastAsia="en-US" w:bidi="en-US"/>
        </w:rPr>
        <w:t xml:space="preserve">Habitants,” in </w:t>
      </w:r>
      <w:r>
        <w:rPr>
          <w:i/>
          <w:iCs/>
          <w:color w:val="000000"/>
          <w:spacing w:val="0"/>
          <w:w w:val="100"/>
          <w:position w:val="0"/>
          <w:shd w:val="clear" w:color="auto" w:fill="auto"/>
          <w:lang w:val="en-US" w:eastAsia="en-US" w:bidi="en-US"/>
        </w:rPr>
        <w:t xml:space="preserve">Journal des Missions </w:t>
      </w:r>
      <w:r>
        <w:rPr>
          <w:i/>
          <w:iCs/>
          <w:color w:val="000000"/>
          <w:spacing w:val="0"/>
          <w:w w:val="100"/>
          <w:position w:val="0"/>
          <w:shd w:val="clear" w:color="auto" w:fill="auto"/>
          <w:lang w:val="fr-FR" w:eastAsia="fr-FR" w:bidi="fr-FR"/>
        </w:rPr>
        <w:t>Évangéliques,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August 1876 ; D. Lovisato, </w:t>
      </w:r>
      <w:r>
        <w:rPr>
          <w:i/>
          <w:iCs/>
          <w:color w:val="000000"/>
          <w:spacing w:val="0"/>
          <w:w w:val="100"/>
          <w:position w:val="0"/>
          <w:shd w:val="clear" w:color="auto" w:fill="auto"/>
          <w:lang w:val="en-US" w:eastAsia="en-US" w:bidi="en-US"/>
        </w:rPr>
        <w:t>Appunti Etnografici con Accenni Geologici sulla Terra del Fuoco,</w:t>
      </w:r>
      <w:r>
        <w:rPr>
          <w:color w:val="000000"/>
          <w:spacing w:val="0"/>
          <w:w w:val="100"/>
          <w:position w:val="0"/>
          <w:shd w:val="clear" w:color="auto" w:fill="auto"/>
          <w:lang w:val="en-US" w:eastAsia="en-US" w:bidi="en-US"/>
        </w:rPr>
        <w:t xml:space="preserve"> Turin, 1884 ; John Ball, </w:t>
      </w:r>
      <w:r>
        <w:rPr>
          <w:i/>
          <w:iCs/>
          <w:color w:val="000000"/>
          <w:spacing w:val="0"/>
          <w:w w:val="100"/>
          <w:position w:val="0"/>
          <w:shd w:val="clear" w:color="auto" w:fill="auto"/>
          <w:lang w:val="en-US" w:eastAsia="en-US" w:bidi="en-US"/>
        </w:rPr>
        <w:t>Notes of a Naturalist in South America,</w:t>
      </w:r>
      <w:r>
        <w:rPr>
          <w:color w:val="000000"/>
          <w:spacing w:val="0"/>
          <w:w w:val="100"/>
          <w:position w:val="0"/>
          <w:shd w:val="clear" w:color="auto" w:fill="auto"/>
          <w:lang w:val="en-US" w:eastAsia="en-US" w:bidi="en-US"/>
        </w:rPr>
        <w:t xml:space="preserve"> London, 1887 ;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W. Coppinger, </w:t>
      </w:r>
      <w:r>
        <w:rPr>
          <w:i/>
          <w:iCs/>
          <w:color w:val="000000"/>
          <w:spacing w:val="0"/>
          <w:w w:val="100"/>
          <w:position w:val="0"/>
          <w:shd w:val="clear" w:color="auto" w:fill="auto"/>
          <w:lang w:val="en-US" w:eastAsia="en-US" w:bidi="en-US"/>
        </w:rPr>
        <w:t>Cruise of the “Alert,"</w:t>
      </w:r>
      <w:r>
        <w:rPr>
          <w:color w:val="000000"/>
          <w:spacing w:val="0"/>
          <w:w w:val="100"/>
          <w:position w:val="0"/>
          <w:shd w:val="clear" w:color="auto" w:fill="auto"/>
          <w:lang w:val="en-US" w:eastAsia="en-US" w:bidi="en-US"/>
        </w:rPr>
        <w:t xml:space="preserve"> London, 4th ed. 1885; </w:t>
      </w:r>
      <w:r>
        <w:rPr>
          <w:color w:val="000000"/>
          <w:spacing w:val="0"/>
          <w:w w:val="100"/>
          <w:position w:val="0"/>
          <w:shd w:val="clear" w:color="auto" w:fill="auto"/>
          <w:lang w:val="la-001" w:eastAsia="la-001" w:bidi="la-001"/>
        </w:rPr>
        <w:t xml:space="preserve">G. </w:t>
      </w:r>
      <w:r>
        <w:rPr>
          <w:color w:val="000000"/>
          <w:spacing w:val="0"/>
          <w:w w:val="100"/>
          <w:position w:val="0"/>
          <w:shd w:val="clear" w:color="auto" w:fill="auto"/>
          <w:lang w:val="de-DE" w:eastAsia="de-DE" w:bidi="de-DE"/>
        </w:rPr>
        <w:t xml:space="preserve">Sergi, </w:t>
      </w:r>
      <w:r>
        <w:rPr>
          <w:i/>
          <w:iCs/>
          <w:color w:val="000000"/>
          <w:spacing w:val="0"/>
          <w:w w:val="100"/>
          <w:position w:val="0"/>
          <w:shd w:val="clear" w:color="auto" w:fill="auto"/>
          <w:lang w:val="en-US" w:eastAsia="en-US" w:bidi="en-US"/>
        </w:rPr>
        <w:t>Antropologia Fisica della Fuegia,</w:t>
      </w:r>
      <w:r>
        <w:rPr>
          <w:color w:val="000000"/>
          <w:spacing w:val="0"/>
          <w:w w:val="100"/>
          <w:position w:val="0"/>
          <w:shd w:val="clear" w:color="auto" w:fill="auto"/>
          <w:lang w:val="en-US" w:eastAsia="en-US" w:bidi="en-US"/>
        </w:rPr>
        <w:t xml:space="preserve"> Rome, 1887 ; Ramon </w:t>
      </w:r>
      <w:r>
        <w:rPr>
          <w:color w:val="000000"/>
          <w:spacing w:val="0"/>
          <w:w w:val="100"/>
          <w:position w:val="0"/>
          <w:shd w:val="clear" w:color="auto" w:fill="auto"/>
          <w:lang w:val="fr-FR" w:eastAsia="fr-FR" w:bidi="fr-FR"/>
        </w:rPr>
        <w:t xml:space="preserve">Lista, </w:t>
      </w:r>
      <w:r>
        <w:rPr>
          <w:color w:val="000000"/>
          <w:spacing w:val="0"/>
          <w:w w:val="100"/>
          <w:position w:val="0"/>
          <w:shd w:val="clear" w:color="auto" w:fill="auto"/>
          <w:lang w:val="en-US" w:eastAsia="en-US" w:bidi="en-US"/>
        </w:rPr>
        <w:t xml:space="preserve">“ East Fuegia,” in </w:t>
      </w:r>
      <w:r>
        <w:rPr>
          <w:i/>
          <w:iCs/>
          <w:color w:val="000000"/>
          <w:spacing w:val="0"/>
          <w:w w:val="100"/>
          <w:position w:val="0"/>
          <w:shd w:val="clear" w:color="auto" w:fill="auto"/>
          <w:lang w:val="en-US" w:eastAsia="en-US" w:bidi="en-US"/>
        </w:rPr>
        <w:t xml:space="preserve">Petermann's </w:t>
      </w:r>
      <w:r>
        <w:rPr>
          <w:i/>
          <w:iCs/>
          <w:color w:val="000000"/>
          <w:spacing w:val="0"/>
          <w:w w:val="100"/>
          <w:position w:val="0"/>
          <w:shd w:val="clear" w:color="auto" w:fill="auto"/>
          <w:lang w:val="de-DE" w:eastAsia="de-DE" w:bidi="de-DE"/>
        </w:rPr>
        <w:t>Mitteilungen,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May 1887 ; and the works already mentioned. </w:t>
      </w:r>
      <w:r>
        <w:rPr>
          <w:color w:val="000000"/>
          <w:spacing w:val="0"/>
          <w:w w:val="100"/>
          <w:position w:val="0"/>
          <w:shd w:val="clear" w:color="auto" w:fill="auto"/>
          <w:lang w:val="fr-FR" w:eastAsia="fr-FR" w:bidi="fr-FR"/>
        </w:rPr>
        <w:t xml:space="preserve">(A. H. </w:t>
      </w:r>
      <w:r>
        <w:rPr>
          <w:color w:val="000000"/>
          <w:spacing w:val="0"/>
          <w:w w:val="100"/>
          <w:position w:val="0"/>
          <w:shd w:val="clear" w:color="auto" w:fill="auto"/>
          <w:lang w:val="en-US" w:eastAsia="en-US" w:bidi="en-US"/>
        </w:rPr>
        <w:t>K.)</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TIFFIN, a city of the United States, in Seneca county (of which it is the county seat), Ohio, stands upon the Sandusky river, in 41° 7' N. lat., 83° 11 W. long., 42 miles south-east of Toledo. The city is situated in the midst of an agricultural region, for which it serves as a shipping and supply point, and has three railroads—the Baltimore and Ohio, the Indiana, Bloomington, and Western, and the North-Western Ohio. It is the seat of Heidelberg College, one of the minor educational institutions of the State. Tiffin had in 1880 a population of 7879, an increase of 2231 over that in 1870.</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TIFLIS, capital of the province of the same name and of Russian Caucasia, is picturesquely situated (44° 48' E. long., 41° 42' N. lat.) at the foot of high mountains, on both banks of the river Kiir, some 500 feet above the level of the Black Sea. The heat in summer is excessive, owing to the confined position; but the surrounding hills (1350 to 2400 feet) shelter the town effectively from the cold winds of a generally severe winter. A large square, the cathedral, one or more handsome streets, gardens, bridges, many fine or neat buildings—among them the grand-ducal palace, the opera-house, and the museum—European shops, the club or circle, hotels, and public offices are evidence that Western civilization has not only penetrated but has long prevailed in this geographically remote town. Of its 54 churches 26 are Armenian, 2 Lutheran, and 1 Catholic, The (Sion) cathedral traces back its origin to the 5th cen</w:t>
        <w:softHyphen/>
        <w:t xml:space="preserve">tury ; but in the interval it has suffered much and often. Other churches date from the 14th and 15th centuries, the Armenian cathedral of Vank from 1480, and the Catholic church from the 14th century. Tiflis has two </w:t>
      </w:r>
      <w:r>
        <w:rPr>
          <w:color w:val="000000"/>
          <w:spacing w:val="0"/>
          <w:w w:val="100"/>
          <w:position w:val="0"/>
          <w:shd w:val="clear" w:color="auto" w:fill="auto"/>
          <w:lang w:val="en-US" w:eastAsia="en-US" w:bidi="en-US"/>
        </w:rPr>
        <w:t>gymnasia and pro-gymnasia for boys and two for girls, and a number of other schools ; several scientific societies, of which the Caucasian branch of the geographical society is well known ; an astronomical and a physical observatory ; and a public library. The manufactures of the place are limited to a few cotton and silk factories, tanneries, soap- works, and brick-works. But the petty trades are largely developed ; and the artisans of Tiflis (about 8000) are re</w:t>
        <w:softHyphen/>
        <w:t>nowned as silversmiths, gunsmiths, and sword-makers. Since 1883 Tiflis has been in railway connexion with Poti and Batum on the Black Sea and with Baku on the Cas</w:t>
        <w:softHyphen/>
        <w:t>pian; but the line from Russia to Vladikavkaz has not yet crossed the main chain of the Caucasus. The trade is of great importance, as Tiflis is the chief centre for the import of raw silk and silken goods, raw cotton, carpets, and dried fruits from Persia, as well as from trans-Caucasia, while a variety of manufactured wares are imported from Russia. The foreign trade of trans-Caucasia with Asia, mostly carried on from Tiflis, in 1884 reached the value of £1,729,800 for exports, and £857,070 for imports. In 1883 the population numbered 104,024, as against 71,051 in summer 1865 and 60,085 in winter, exclusive of a garrison of 6800. Ethnologically, the numbers are—Ar</w:t>
        <w:softHyphen/>
        <w:t>menians 31,180, Georgians 14,787, and Russians 12,142, with an admixture of about 1200 Germans, 7150 Persians (in summer), 1500 Tatars, and some Jews and Greeks.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Many chroniclers and travellers have written about Tiflis. Per</w:t>
        <w:softHyphen/>
        <w:t xml:space="preserve">haps one of the fullest accounts is contained in Brosset’s edition of the </w:t>
      </w:r>
      <w:r>
        <w:rPr>
          <w:color w:val="000000"/>
          <w:spacing w:val="0"/>
          <w:w w:val="100"/>
          <w:position w:val="0"/>
          <w:shd w:val="clear" w:color="auto" w:fill="auto"/>
          <w:lang w:val="en-US" w:eastAsia="en-US" w:bidi="en-US"/>
        </w:rPr>
        <w:t xml:space="preserve">Description </w:t>
      </w:r>
      <w:r>
        <w:rPr>
          <w:color w:val="000000"/>
          <w:spacing w:val="0"/>
          <w:w w:val="100"/>
          <w:position w:val="0"/>
          <w:shd w:val="clear" w:color="auto" w:fill="auto"/>
          <w:lang w:val="fr-FR" w:eastAsia="fr-FR" w:bidi="fr-FR"/>
        </w:rPr>
        <w:t>Géographique de la Géorgie</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(St Petersburg, 1842), by the illegitimate son of Wakhtang VI., king of Karthli, who became a pensioner of Peter the Great. English travellers since 1849 de</w:t>
        <w:softHyphen/>
        <w:t xml:space="preserve">scribe Tiflis in its main features much in the same terms. Lady Sheil, writing in 1849, calls it “most thriving, active, and bustling.” Edward Eastwick (1860), estimating its population at 40,000 and the height of the mountains overhanging it at 3000 feet, represents the plain in which the city is situated to be so barren that “even the Kiir . . . imparts to it but a limited fertility.” Mounsey (1866) speaks in warm terms of its social charms and the great hospitality of its inhabitants, and notes it as the seat of government for the “ Caucasian provinces of Russia, headquarters of an army of 150,000 men, and the residence of the governor-general.” In the old division of Tiflis three distinct towns were included,—Tiflis, Kal'a (the fort), and Isni ; subsequently Tiflis seems to have become known as </w:t>
      </w:r>
      <w:r>
        <w:rPr>
          <w:i w:val="0"/>
          <w:iCs w:val="0"/>
          <w:color w:val="000000"/>
          <w:spacing w:val="0"/>
          <w:w w:val="100"/>
          <w:position w:val="0"/>
          <w:shd w:val="clear" w:color="auto" w:fill="auto"/>
          <w:lang w:val="fr-FR" w:eastAsia="fr-FR" w:bidi="fr-FR"/>
        </w:rPr>
        <w:t>S</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iyid</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b</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 xml:space="preserve">d, </w:t>
      </w:r>
      <w:r>
        <w:rPr>
          <w:i w:val="0"/>
          <w:iCs w:val="0"/>
          <w:color w:val="000000"/>
          <w:spacing w:val="0"/>
          <w:w w:val="100"/>
          <w:position w:val="0"/>
          <w:shd w:val="clear" w:color="auto" w:fill="auto"/>
          <w:lang w:val="en-US" w:eastAsia="en-US" w:bidi="en-US"/>
        </w:rPr>
        <w:t>Kal'a as Tiflis, and Isni as Aulabár. Kal'a and Isni possessed citadels ; that of the former contained the church of St Nicholas and a royal palace, that of the latter the church of the Holy Virgin and the residence of the archimandrite. The town is now divided into quarters :—the Russian (the finest of all), the German, the Armenian, and that in which are congregated Jews, Mohammedans, and the mass of Orientals. Tiflis can lay claim to a very considerable antiquity. In 455 the chieftain of Georgia, Wakhtang, transferred his capital from Mhtset to the warm springs of Tpilisi, where he erected several churches and a fort. In 570 the Persians took the place and made it the residence of their rulers, but retained it only for ten years. Tiflis underwent successive plunderings and devastations at the hands of the Greeks in 626, of one of the commanders of Omar in 731, of the Khazars in 828, and of the Saracens in 851. The Georgians, however, always managed to return to it and to keep it in their permanent posses</w:t>
        <w:softHyphen/>
        <w:t>sion. In the course of the succeeding centuries Tiflis fell repeatedly into Persian hands ; and it was plundered by Timur about the end of the 14th century. Afterwards the Turks seized it several times, and towards the end of the 17th century the Lcsghians made attacks upon it. In 1795, when the shah of Persia plundered Tiflis, Russia sent troops to its protection, and the Russian occupation became permanent in 1799.</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TIGER. Although this name is often applied by settlers and sportsmen to several of the larger </w:t>
      </w:r>
      <w:r>
        <w:rPr>
          <w:i/>
          <w:iCs/>
          <w:color w:val="000000"/>
          <w:spacing w:val="0"/>
          <w:w w:val="100"/>
          <w:position w:val="0"/>
          <w:shd w:val="clear" w:color="auto" w:fill="auto"/>
          <w:lang w:val="fr-FR" w:eastAsia="fr-FR" w:bidi="fr-FR"/>
        </w:rPr>
        <w:t>Felidæ,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as the leopard of Africa and the jaguar of America, it should properly be restricted to the well-known striped species of Asia, </w:t>
      </w:r>
      <w:r>
        <w:rPr>
          <w:i/>
          <w:iCs/>
          <w:color w:val="000000"/>
          <w:spacing w:val="0"/>
          <w:w w:val="100"/>
          <w:position w:val="0"/>
          <w:shd w:val="clear" w:color="auto" w:fill="auto"/>
          <w:lang w:val="la-001" w:eastAsia="la-001" w:bidi="la-001"/>
        </w:rPr>
        <w:t>Felis tigris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fr-FR" w:eastAsia="fr-FR" w:bidi="fr-FR"/>
        </w:rPr>
        <w:t xml:space="preserve">Linnæus, </w:t>
      </w:r>
      <w:r>
        <w:rPr>
          <w:color w:val="000000"/>
          <w:spacing w:val="0"/>
          <w:w w:val="100"/>
          <w:position w:val="0"/>
          <w:shd w:val="clear" w:color="auto" w:fill="auto"/>
          <w:lang w:val="en-US" w:eastAsia="en-US" w:bidi="en-US"/>
        </w:rPr>
        <w:t xml:space="preserve">an animal which is only rivalled by the lion in size, strength, and ferocity among the cat-like beasts of prey. It is a true cat on a large scale, and possesses all the essential characters of the genus as defined in the article </w:t>
      </w:r>
      <w:r>
        <w:rPr>
          <w:smallCaps/>
          <w:color w:val="000000"/>
          <w:spacing w:val="0"/>
          <w:w w:val="100"/>
          <w:position w:val="0"/>
          <w:shd w:val="clear" w:color="auto" w:fill="auto"/>
          <w:lang w:val="en-US" w:eastAsia="en-US" w:bidi="en-US"/>
        </w:rPr>
        <w:t>Mammalia</w:t>
      </w:r>
      <w:r>
        <w:rPr>
          <w:color w:val="000000"/>
          <w:spacing w:val="0"/>
          <w:w w:val="100"/>
          <w:position w:val="0"/>
          <w:shd w:val="clear" w:color="auto" w:fill="auto"/>
          <w:lang w:val="en-US" w:eastAsia="en-US" w:bidi="en-US"/>
        </w:rPr>
        <w:t xml:space="preserve"> (vol. xv. p. 434). It belongs to the section in which the pupil of the eye con</w:t>
        <w:softHyphen/>
        <w:t>tracts under the stimulus of light into a round spot and not a vertical slit, and in which the hyoid bone is con-</w:t>
      </w:r>
    </w:p>
    <w:sectPr>
      <w:footnotePr>
        <w:pos w:val="pageBottom"/>
        <w:numFmt w:val="decimal"/>
        <w:numRestart w:val="continuous"/>
      </w:footnotePr>
      <w:pgSz w:w="12240" w:h="16840"/>
      <w:pgMar w:top="2027" w:left="1666" w:right="1628" w:bottom="16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7">
    <w:name w:val="Body text (8)_"/>
    <w:basedOn w:val="DefaultParagraphFont"/>
    <w:link w:val="Style6"/>
    <w:rPr>
      <w:rFonts w:ascii="Times New Roman" w:eastAsia="Times New Roman" w:hAnsi="Times New Roman" w:cs="Times New Roman"/>
      <w:b w:val="0"/>
      <w:bCs w:val="0"/>
      <w:i w:val="0"/>
      <w:iCs w:val="0"/>
      <w:smallCaps w:val="0"/>
      <w:strike w:val="0"/>
      <w:sz w:val="12"/>
      <w:szCs w:val="12"/>
      <w:u w:val="none"/>
    </w:rPr>
  </w:style>
  <w:style w:type="character" w:customStyle="1" w:styleId="CharStyle10">
    <w:name w:val="Body text (6)_"/>
    <w:basedOn w:val="DefaultParagraphFont"/>
    <w:link w:val="Style9"/>
    <w:rPr>
      <w:rFonts w:ascii="Cambria" w:eastAsia="Cambria" w:hAnsi="Cambria" w:cs="Cambria"/>
      <w:b w:val="0"/>
      <w:bCs w:val="0"/>
      <w:i w:val="0"/>
      <w:iCs w:val="0"/>
      <w:smallCaps w:val="0"/>
      <w:strike w:val="0"/>
      <w:sz w:val="16"/>
      <w:szCs w:val="16"/>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6">
    <w:name w:val="Body text (8)"/>
    <w:basedOn w:val="Normal"/>
    <w:link w:val="CharStyle7"/>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 w:type="paragraph" w:customStyle="1" w:styleId="Style9">
    <w:name w:val="Body text (6)"/>
    <w:basedOn w:val="Normal"/>
    <w:link w:val="CharStyle10"/>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