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552"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ing a considerable portion of their lives, and thus the prosperity of the town rapidly increased. At the restoration of the supreme authority of the emperor in 1868 the shogunate was abolished, and the population of Yedo speedily decreased. A fresh vitality was again imparted by the transfer of the court from Kioto, and the town then received its present name </w:t>
      </w:r>
      <w:r>
        <w:rPr>
          <w:i w:val="0"/>
          <w:iCs w:val="0"/>
          <w:color w:val="000000"/>
          <w:spacing w:val="0"/>
          <w:w w:val="100"/>
          <w:position w:val="0"/>
          <w:shd w:val="clear" w:color="auto" w:fill="auto"/>
          <w:lang w:val="de-DE" w:eastAsia="de-DE" w:bidi="de-DE"/>
        </w:rPr>
        <w:t xml:space="preserve">Tokio </w:t>
      </w:r>
      <w:r>
        <w:rPr>
          <w:i w:val="0"/>
          <w:iCs w:val="0"/>
          <w:color w:val="000000"/>
          <w:spacing w:val="0"/>
          <w:w w:val="100"/>
          <w:position w:val="0"/>
          <w:shd w:val="clear" w:color="auto" w:fill="auto"/>
          <w:lang w:val="en-US" w:eastAsia="en-US" w:bidi="en-US"/>
        </w:rPr>
        <w:t>(eastern capital). It has since been the seat of the imperial Government, and may be considered the centre of the political, commercial, and literary activity of Japan. It is the channel through which the stream of European civilization pours into the country, and all recent pro</w:t>
        <w:softHyphen/>
        <w:t>gress has there taken its rise.</w:t>
        <w:tab/>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S. L.)</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TOLAND,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(1670-1722), or Janus Junius, as his sponsors are said to have named him, usually described as a chief leader of the English deists, was born November 30, 1670 or 1671, in the north of Ireland, near Londonderry. He was the son, perhaps illegiti</w:t>
        <w:softHyphen/>
        <w:t>mate, of Catholic parents, and was brought up in their faith. But in his fifteenth year he became a zealous Protestant, and in 1687 he passed from the school at Redcastle to Glasgow university, recommended by the magistrates of Redcastle “ for his affection to the Protest</w:t>
        <w:softHyphen/>
        <w:t>ant religion.” Thus early in life he became “ accustomed to examination and inquiry, and was taught not to cap</w:t>
        <w:softHyphen/>
        <w:t>tivate his understanding to any man or society.” After three years at Glasgow he entered the university of Edin</w:t>
        <w:softHyphen/>
        <w:t>burgh, taking his M.A. degree there June 30, 1690. He then spent a short time in some Protestant families in England, and with their assistance went to Leyden univer</w:t>
        <w:softHyphen/>
        <w:t>sity, to qualify him for entering the Dissenting ministry. He spent about two years in Leyden, studying ecclesi</w:t>
        <w:softHyphen/>
        <w:t>astical history especially under the famous scholar Fred</w:t>
        <w:softHyphen/>
        <w:t xml:space="preserve">erick </w:t>
      </w:r>
      <w:r>
        <w:rPr>
          <w:color w:val="000000"/>
          <w:spacing w:val="0"/>
          <w:w w:val="100"/>
          <w:position w:val="0"/>
          <w:shd w:val="clear" w:color="auto" w:fill="auto"/>
          <w:lang w:val="de-DE" w:eastAsia="de-DE" w:bidi="de-DE"/>
        </w:rPr>
        <w:t xml:space="preserve">Spanheim. </w:t>
      </w:r>
      <w:r>
        <w:rPr>
          <w:color w:val="000000"/>
          <w:spacing w:val="0"/>
          <w:w w:val="100"/>
          <w:position w:val="0"/>
          <w:shd w:val="clear" w:color="auto" w:fill="auto"/>
          <w:lang w:val="en-US" w:eastAsia="en-US" w:bidi="en-US"/>
        </w:rPr>
        <w:t>At the expiration of that time he took up his abode, January 7, 1694, at Oxford, having good introductions to Creech, Mill, and others. Here he made large use of the Bodleian Library, and soon acquired the reputation of being “ a man of fine parts, of great learn</w:t>
        <w:softHyphen/>
        <w:t xml:space="preserve">ing, and of little religion,” though there is no evidence to show that the last distinction was justly his due. His letters show that he then claimed to be a decided Christian, and that he was too orthodox to be classed with the Arians or the Socinians. At the same time the characteristic freedom and originality of his mind were displayed by his anticipation of subsequent doubts of the integrity of the book of Job, and the separation of the historical prologue and the speeches of Elihu from the original poem. While at Oxford he commenced the book which called him into notoriety, and became one of the standard “ deistical writings ”—his </w:t>
      </w:r>
      <w:r>
        <w:rPr>
          <w:i/>
          <w:iCs/>
          <w:color w:val="000000"/>
          <w:spacing w:val="0"/>
          <w:w w:val="100"/>
          <w:position w:val="0"/>
          <w:shd w:val="clear" w:color="auto" w:fill="auto"/>
          <w:lang w:val="en-US" w:eastAsia="en-US" w:bidi="en-US"/>
        </w:rPr>
        <w:t>Christianity not Mys</w:t>
        <w:softHyphen/>
        <w:t>terious.@@</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book gave great offence, and several replies to it were immediately published. The author was pro</w:t>
        <w:softHyphen/>
        <w:t xml:space="preserve">secuted by the grand jury of Middlesex the year of its publication ; and, when he attempted to settle in Dublin at the beginning of 1697, he was greeted with dangerous denunciations from the pulpits and elsewhere. He was soon prosecuted before the court of King’s Bench, and on September 9th his book was condemned by the Irish parliament to be burned and its author to be arrested. He escaped the latter part of the sentence by flight to England. The title and the philosophical principles of Toland’s book were singularly akin to those of Locke’s famous work, </w:t>
      </w:r>
      <w:r>
        <w:rPr>
          <w:i/>
          <w:iCs/>
          <w:color w:val="000000"/>
          <w:spacing w:val="0"/>
          <w:w w:val="100"/>
          <w:position w:val="0"/>
          <w:shd w:val="clear" w:color="auto" w:fill="auto"/>
          <w:lang w:val="en-US" w:eastAsia="en-US" w:bidi="en-US"/>
        </w:rPr>
        <w:t>The Reasonableness of Christianity,</w:t>
      </w:r>
      <w:r>
        <w:rPr>
          <w:color w:val="000000"/>
          <w:spacing w:val="0"/>
          <w:w w:val="100"/>
          <w:position w:val="0"/>
          <w:shd w:val="clear" w:color="auto" w:fill="auto"/>
          <w:lang w:val="en-US" w:eastAsia="en-US" w:bidi="en-US"/>
        </w:rPr>
        <w:t xml:space="preserve"> pub</w:t>
        <w:softHyphen/>
        <w:t>lished the year before ; and Locke’s opponents seized the opportunity of fathering upon the philosopher the doc</w:t>
        <w:softHyphen/>
        <w:t>trines of his more heterodox and less guarded disciple. Thus Toland’s work became the occasion of the celebrated controversy between Stillingfleet and Locke, in which Locke takes pains to show the difference between his posi</w:t>
        <w:softHyphen/>
        <w:t>tion and Toland’s. Toland’s next work of importance was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en-US" w:eastAsia="en-US" w:bidi="en-US"/>
        </w:rPr>
        <w:t>Life of Milton</w:t>
      </w:r>
      <w:r>
        <w:rPr>
          <w:color w:val="000000"/>
          <w:spacing w:val="0"/>
          <w:w w:val="100"/>
          <w:position w:val="0"/>
          <w:shd w:val="clear" w:color="auto" w:fill="auto"/>
          <w:lang w:val="en-US" w:eastAsia="en-US" w:bidi="en-US"/>
        </w:rPr>
        <w:t xml:space="preserve"> (1698), in which, in connexion with his exposure of the fictitious authorship of the </w:t>
      </w:r>
      <w:r>
        <w:rPr>
          <w:i/>
          <w:iCs/>
          <w:color w:val="000000"/>
          <w:spacing w:val="0"/>
          <w:w w:val="100"/>
          <w:position w:val="0"/>
          <w:shd w:val="clear" w:color="auto" w:fill="auto"/>
          <w:lang w:val="en-US" w:eastAsia="en-US" w:bidi="en-US"/>
        </w:rPr>
        <w:t xml:space="preserve">Eikon Basilike, </w:t>
      </w:r>
      <w:r>
        <w:rPr>
          <w:color w:val="000000"/>
          <w:spacing w:val="0"/>
          <w:w w:val="100"/>
          <w:position w:val="0"/>
          <w:shd w:val="clear" w:color="auto" w:fill="auto"/>
          <w:lang w:val="en-US" w:eastAsia="en-US" w:bidi="en-US"/>
        </w:rPr>
        <w:t xml:space="preserve">he found occasion to make reflexions on “ the numerous supposititious pieces under the name of Christ and His apostles and other great persons.” This provoked the charge that he had called in question the genuineness of the New Testament writings, and he replied in his </w:t>
      </w:r>
      <w:r>
        <w:rPr>
          <w:i/>
          <w:iCs/>
          <w:color w:val="000000"/>
          <w:spacing w:val="0"/>
          <w:w w:val="100"/>
          <w:position w:val="0"/>
          <w:shd w:val="clear" w:color="auto" w:fill="auto"/>
          <w:lang w:val="en-US" w:eastAsia="en-US" w:bidi="en-US"/>
        </w:rPr>
        <w:t>Amyntor, or a Defence of Milton's Life</w:t>
      </w:r>
      <w:r>
        <w:rPr>
          <w:color w:val="000000"/>
          <w:spacing w:val="0"/>
          <w:w w:val="100"/>
          <w:position w:val="0"/>
          <w:shd w:val="clear" w:color="auto" w:fill="auto"/>
          <w:lang w:val="en-US" w:eastAsia="en-US" w:bidi="en-US"/>
        </w:rPr>
        <w:t xml:space="preserve"> (1699), to which he added a remarkable list of what are now called apocryphal New Testament writings. In his remarks he really opened up the great question of the history of the canon, towards the examination of which Stephen Nye, Jeremiah Jones, and Nathanael Lardner made in reply to him the first valu</w:t>
        <w:softHyphen/>
        <w:t xml:space="preserve">able contributions. The next year his </w:t>
      </w:r>
      <w:r>
        <w:rPr>
          <w:i/>
          <w:iCs/>
          <w:color w:val="000000"/>
          <w:spacing w:val="0"/>
          <w:w w:val="100"/>
          <w:position w:val="0"/>
          <w:shd w:val="clear" w:color="auto" w:fill="auto"/>
          <w:lang w:val="en-US" w:eastAsia="en-US" w:bidi="en-US"/>
        </w:rPr>
        <w:t>Amyntor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Chris</w:t>
        <w:softHyphen/>
        <w:t>tianity not Mysterious</w:t>
      </w:r>
      <w:r>
        <w:rPr>
          <w:color w:val="000000"/>
          <w:spacing w:val="0"/>
          <w:w w:val="100"/>
          <w:position w:val="0"/>
          <w:shd w:val="clear" w:color="auto" w:fill="auto"/>
          <w:lang w:val="en-US" w:eastAsia="en-US" w:bidi="en-US"/>
        </w:rPr>
        <w:t xml:space="preserve"> were under discussion in both Houses of Convocation, and the Upper House declined to proceed against the author. In 1701 Toland spent a few weeks at Hanover as secretary to the embassy of the earl of Macclesfield, and was received with favour by the electress Sophia in acknowledgment of his book </w:t>
      </w:r>
      <w:r>
        <w:rPr>
          <w:i/>
          <w:iCs/>
          <w:color w:val="000000"/>
          <w:spacing w:val="0"/>
          <w:w w:val="100"/>
          <w:position w:val="0"/>
          <w:shd w:val="clear" w:color="auto" w:fill="auto"/>
          <w:lang w:val="en-US" w:eastAsia="en-US" w:bidi="en-US"/>
        </w:rPr>
        <w:t>Anglia Libera,</w:t>
      </w:r>
      <w:r>
        <w:rPr>
          <w:color w:val="000000"/>
          <w:spacing w:val="0"/>
          <w:w w:val="100"/>
          <w:position w:val="0"/>
          <w:shd w:val="clear" w:color="auto" w:fill="auto"/>
          <w:lang w:val="en-US" w:eastAsia="en-US" w:bidi="en-US"/>
        </w:rPr>
        <w:t xml:space="preserve"> a defence of the Hanoverian succession. On his return from the Continent he published a defence of himself, and of the bishops for not prosecuting him, </w:t>
      </w:r>
      <w:r>
        <w:rPr>
          <w:i/>
          <w:iCs/>
          <w:color w:val="000000"/>
          <w:spacing w:val="0"/>
          <w:w w:val="100"/>
          <w:position w:val="0"/>
          <w:shd w:val="clear" w:color="auto" w:fill="auto"/>
          <w:lang w:val="la-001" w:eastAsia="la-001" w:bidi="la-001"/>
        </w:rPr>
        <w:t xml:space="preserve">Vindicius Liberius </w:t>
      </w:r>
      <w:r>
        <w:rPr>
          <w:color w:val="000000"/>
          <w:spacing w:val="0"/>
          <w:w w:val="100"/>
          <w:position w:val="0"/>
          <w:shd w:val="clear" w:color="auto" w:fill="auto"/>
          <w:lang w:val="en-US" w:eastAsia="en-US" w:bidi="en-US"/>
        </w:rPr>
        <w:t>(1702), and several political pamphlets. The next year he visited Hanover and Berlin, and was again graciously received by the electress and her daughter Sophia Char</w:t>
        <w:softHyphen/>
        <w:t xml:space="preserve">lotte, queen of Prussia. On his return to England (1704) he published </w:t>
      </w:r>
      <w:r>
        <w:rPr>
          <w:i/>
          <w:iCs/>
          <w:color w:val="000000"/>
          <w:spacing w:val="0"/>
          <w:w w:val="100"/>
          <w:position w:val="0"/>
          <w:shd w:val="clear" w:color="auto" w:fill="auto"/>
          <w:lang w:val="en-US" w:eastAsia="en-US" w:bidi="en-US"/>
        </w:rPr>
        <w:t>Letters to Serena,</w:t>
      </w:r>
      <w:r>
        <w:rPr>
          <w:color w:val="000000"/>
          <w:spacing w:val="0"/>
          <w:w w:val="100"/>
          <w:position w:val="0"/>
          <w:shd w:val="clear" w:color="auto" w:fill="auto"/>
          <w:lang w:val="en-US" w:eastAsia="en-US" w:bidi="en-US"/>
        </w:rPr>
        <w:t xml:space="preserve"> and afterwards acknowledged that the queen of Prussia was intended by the pseudonym. In these letters he anticipated some of the speculations of modern materialism. The next year appeared his </w:t>
      </w:r>
      <w:r>
        <w:rPr>
          <w:i/>
          <w:iCs/>
          <w:color w:val="000000"/>
          <w:spacing w:val="0"/>
          <w:w w:val="100"/>
          <w:position w:val="0"/>
          <w:shd w:val="clear" w:color="auto" w:fill="auto"/>
          <w:lang w:val="en-US" w:eastAsia="en-US" w:bidi="en-US"/>
        </w:rPr>
        <w:t>Account of Prussia and Hanover,</w:t>
      </w:r>
      <w:r>
        <w:rPr>
          <w:color w:val="000000"/>
          <w:spacing w:val="0"/>
          <w:w w:val="100"/>
          <w:position w:val="0"/>
          <w:shd w:val="clear" w:color="auto" w:fill="auto"/>
          <w:lang w:val="en-US" w:eastAsia="en-US" w:bidi="en-US"/>
        </w:rPr>
        <w:t xml:space="preserve"> of which Carlyle has made use in his </w:t>
      </w:r>
      <w:r>
        <w:rPr>
          <w:i/>
          <w:iCs/>
          <w:color w:val="000000"/>
          <w:spacing w:val="0"/>
          <w:w w:val="100"/>
          <w:position w:val="0"/>
          <w:shd w:val="clear" w:color="auto" w:fill="auto"/>
          <w:lang w:val="en-US" w:eastAsia="en-US" w:bidi="en-US"/>
        </w:rPr>
        <w:t>Life of Frederick the Great.</w:t>
      </w:r>
      <w:r>
        <w:rPr>
          <w:color w:val="000000"/>
          <w:spacing w:val="0"/>
          <w:w w:val="100"/>
          <w:position w:val="0"/>
          <w:shd w:val="clear" w:color="auto" w:fill="auto"/>
          <w:lang w:val="en-US" w:eastAsia="en-US" w:bidi="en-US"/>
        </w:rPr>
        <w:t xml:space="preserve"> From 1707 to 1710 he is again on the Continent,—at Berlin, Hanover, </w:t>
      </w:r>
      <w:r>
        <w:rPr>
          <w:color w:val="000000"/>
          <w:spacing w:val="0"/>
          <w:w w:val="100"/>
          <w:position w:val="0"/>
          <w:shd w:val="clear" w:color="auto" w:fill="auto"/>
          <w:lang w:val="de-DE" w:eastAsia="de-DE" w:bidi="de-DE"/>
        </w:rPr>
        <w:t>Düssel</w:t>
        <w:softHyphen/>
        <w:t xml:space="preserve">dorf, </w:t>
      </w:r>
      <w:r>
        <w:rPr>
          <w:color w:val="000000"/>
          <w:spacing w:val="0"/>
          <w:w w:val="100"/>
          <w:position w:val="0"/>
          <w:shd w:val="clear" w:color="auto" w:fill="auto"/>
          <w:lang w:val="en-US" w:eastAsia="en-US" w:bidi="en-US"/>
        </w:rPr>
        <w:t xml:space="preserve">Vienna, Prague, and The Hague, with very varying fortunes, but generally of an adverse character. In 1709 he published </w:t>
      </w:r>
      <w:r>
        <w:rPr>
          <w:i/>
          <w:iCs/>
          <w:color w:val="000000"/>
          <w:spacing w:val="0"/>
          <w:w w:val="100"/>
          <w:position w:val="0"/>
          <w:shd w:val="clear" w:color="auto" w:fill="auto"/>
          <w:lang w:val="fr-FR" w:eastAsia="fr-FR" w:bidi="fr-FR"/>
        </w:rPr>
        <w:t>Adeisidæmon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Origines Judaicæ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Hague), in which, amongst other things, he maintained that the Jews were originally Egyptians, and that the true Mosaic institutions perished with Moses. This work pro</w:t>
        <w:softHyphen/>
        <w:t xml:space="preserve">voked a number of replies from Continental theologians. In 1710 he returned to England, living chiefly in London and latterly at Putney, loving the country and his books, and subsisting precariously upon the earnings of his pen and the benevolence of his patrons. His literary projects were numerous (see the incomplete list in Mosheim) ; and the nobler traits of his warm Irish nature appear in his projected history of the ancient Celtic religion and his chivalrous advocacy of the naturalization of the Jews. The last of his theological works were </w:t>
      </w:r>
      <w:r>
        <w:rPr>
          <w:i/>
          <w:iCs/>
          <w:color w:val="000000"/>
          <w:spacing w:val="0"/>
          <w:w w:val="100"/>
          <w:position w:val="0"/>
          <w:shd w:val="clear" w:color="auto" w:fill="auto"/>
          <w:lang w:val="la-001" w:eastAsia="la-001" w:bidi="la-001"/>
        </w:rPr>
        <w:t xml:space="preserve">Nazarenus, </w:t>
      </w:r>
      <w:r>
        <w:rPr>
          <w:i/>
          <w:iCs/>
          <w:color w:val="000000"/>
          <w:spacing w:val="0"/>
          <w:w w:val="100"/>
          <w:position w:val="0"/>
          <w:shd w:val="clear" w:color="auto" w:fill="auto"/>
          <w:lang w:val="en-US" w:eastAsia="en-US" w:bidi="en-US"/>
        </w:rPr>
        <w:t>or Jewish, Gentile, and Mahometan Christianity</w:t>
      </w:r>
      <w:r>
        <w:rPr>
          <w:color w:val="000000"/>
          <w:spacing w:val="0"/>
          <w:w w:val="100"/>
          <w:position w:val="0"/>
          <w:shd w:val="clear" w:color="auto" w:fill="auto"/>
          <w:lang w:val="en-US" w:eastAsia="en-US" w:bidi="en-US"/>
        </w:rPr>
        <w:t xml:space="preserve"> (1718), and </w:t>
      </w:r>
      <w:r>
        <w:rPr>
          <w:i/>
          <w:iCs/>
          <w:color w:val="000000"/>
          <w:spacing w:val="0"/>
          <w:w w:val="100"/>
          <w:position w:val="0"/>
          <w:shd w:val="clear" w:color="auto" w:fill="auto"/>
          <w:lang w:val="en-US" w:eastAsia="en-US" w:bidi="en-US"/>
        </w:rPr>
        <w:t>Tetra- dymus</w:t>
      </w:r>
      <w:r>
        <w:rPr>
          <w:color w:val="000000"/>
          <w:spacing w:val="0"/>
          <w:w w:val="100"/>
          <w:position w:val="0"/>
          <w:shd w:val="clear" w:color="auto" w:fill="auto"/>
          <w:lang w:val="en-US" w:eastAsia="en-US" w:bidi="en-US"/>
        </w:rPr>
        <w:t xml:space="preserve"> (1720), a collection of essays on various subjects, in the first of which, “ Hodegus,” he set the example subsequently followed by Reimarus and the rationalistic school in Germany, of interpreting the Old Testament miracles by the naturalistic method, maintaining, for in</w:t>
        <w:softHyphen/>
        <w:t xml:space="preserve">stance, that the pillar of cloud and of fire of Exodus was a transported signal-fire. His last and most offensive book was his </w:t>
      </w:r>
      <w:r>
        <w:rPr>
          <w:i/>
          <w:iCs/>
          <w:color w:val="000000"/>
          <w:spacing w:val="0"/>
          <w:w w:val="100"/>
          <w:position w:val="0"/>
          <w:shd w:val="clear" w:color="auto" w:fill="auto"/>
          <w:lang w:val="en-US" w:eastAsia="en-US" w:bidi="en-US"/>
        </w:rPr>
        <w:t>Pantheisticon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(Cosmopoli, </w:t>
      </w:r>
      <w:r>
        <w:rPr>
          <w:color w:val="000000"/>
          <w:spacing w:val="0"/>
          <w:w w:val="100"/>
          <w:position w:val="0"/>
          <w:shd w:val="clear" w:color="auto" w:fill="auto"/>
          <w:lang w:val="en-US" w:eastAsia="en-US" w:bidi="en-US"/>
        </w:rPr>
        <w:t xml:space="preserve">1720). He died May 11, 1722, as he had lived, in great poverty, in the midst of his books, with his pen in his hand, and left behind him a characteristic Latin epitaph, in which he could justly claim to have been </w:t>
      </w:r>
      <w:r>
        <w:rPr>
          <w:color w:val="000000"/>
          <w:spacing w:val="0"/>
          <w:w w:val="100"/>
          <w:position w:val="0"/>
          <w:shd w:val="clear" w:color="auto" w:fill="auto"/>
          <w:lang w:val="la-001" w:eastAsia="la-001" w:bidi="la-001"/>
        </w:rPr>
        <w:t>“veritatis propugnator, libertatis assertor.”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Toland is generally classed with the deists, but at the time when he wrote his first book, </w:t>
      </w:r>
      <w:r>
        <w:rPr>
          <w:color w:val="000000"/>
          <w:spacing w:val="0"/>
          <w:w w:val="100"/>
          <w:position w:val="0"/>
          <w:shd w:val="clear" w:color="auto" w:fill="auto"/>
          <w:lang w:val="en-US" w:eastAsia="en-US" w:bidi="en-US"/>
        </w:rPr>
        <w:t>Christianity not Mysterious,</w:t>
      </w:r>
      <w:r>
        <w:rPr>
          <w:i w:val="0"/>
          <w:iCs w:val="0"/>
          <w:color w:val="000000"/>
          <w:spacing w:val="0"/>
          <w:w w:val="100"/>
          <w:position w:val="0"/>
          <w:shd w:val="clear" w:color="auto" w:fill="auto"/>
          <w:lang w:val="en-US" w:eastAsia="en-US" w:bidi="en-US"/>
        </w:rPr>
        <w:t xml:space="preserve"> he was decidedly opposed to deism, nor does Leland deal with that work as an exposition of deistical views. The design of the work was to show, by an appeal mainly to the tribunal of Scripture, that there are no facts or doctrines of the “gospel,” or “the Scriptures,” or “Christian revelation” which, when revealed, are not perfectly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first edition, London, 1696, was anonymous ; the second, published the same year, bore on the title-page his name, and received a preface and some slight alterations ; and the third appeared in 1702 with an appended </w:t>
      </w:r>
      <w:r>
        <w:rPr>
          <w:color w:val="000000"/>
          <w:spacing w:val="0"/>
          <w:w w:val="100"/>
          <w:position w:val="0"/>
          <w:shd w:val="clear" w:color="auto" w:fill="auto"/>
          <w:lang w:val="en-US" w:eastAsia="en-US" w:bidi="en-US"/>
        </w:rPr>
        <w:t>Apology for Mr Toland.</w:t>
      </w:r>
    </w:p>
    <w:p>
      <w:pPr>
        <w:widowControl w:val="0"/>
        <w:spacing w:line="1" w:lineRule="exact"/>
      </w:pPr>
    </w:p>
    <w:sectPr>
      <w:footnotePr>
        <w:pos w:val="pageBottom"/>
        <w:numFmt w:val="decimal"/>
        <w:numRestart w:val="continuous"/>
      </w:footnotePr>
      <w:type w:val="continuous"/>
      <w:pgSz w:w="12240" w:h="16840"/>
      <w:pgMar w:top="2083" w:left="1793" w:right="1516"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