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and the real history of Toulouse recommences in 780 or 781, when Charlemagne appointed his little son Louis king of Aquitaine, with Toulouse for his chief city.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During the minority of the young king his tutor Chorson ruled at Toulouse with the title of duke or count. Being deposed at the council of Worms (790), he was succeeded by William Courtnez, the traditional hero of southern France, who in 806 retired to his newly founded monastery at Gellone, where he died in 812. In the un</w:t>
        <w:softHyphen/>
        <w:t>happy days of Louis the Pious and his children Toulouse suffered in common with the rest of western Europe. It was besieged by Charles the Bald in 844, and taken four years later by the Normans, who in 843 had sailed up the Garonne as far as its walls. About 852 Raymond L, count of Querci, succeeded his brother Fridolo as count of Rouergue and Toulouse; it is from this noble that all the later counts of Toulouse trace their descent. Raymond I.’s grandchildren divided their parent’s estates; of these Raymond II., the elder (d. 924), became count of Toulouse, and Ermengaud, the younger, count of Rouergue, while the hereditary titles of Gothia, Querci, and Albi were shared between them. Raymond II.’s grand</w:t>
        <w:softHyphen/>
        <w:t xml:space="preserve">son, William Taillefer (d.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1037), married Emma of Provence, and handed down part of that lordship to his younger son Bertrand.@@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William’s elder son Pons left two children, of whom William IV. succeeded his father in Toulouse, Albi, Querci, &amp;c.; while the younger, Raymond IV. of St Gilles (c. 1066), made himself master of the vast possessions of the counts of Rouergue, married his cousin the heiress of Provence, and about 1085 began to rule the immense estates of his elder brother, who was still living.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this time the counts of Toulouse were the greatest lords in southern France. Raymond IV., the hero of the first crusade, assumed the formal titles of marquis of Provence, duke of Nar- bonne, and count of Toulouse. While Raymond was away in the Holy Land, Toulouse was seized by William IX., duke of Aquitaine, who claimed the city in right of his wife Philippa, the daughter of William IV., but was unable to hold it long (1098-1100). Raymond’s son and successor Bertrand followed his father’s example and set out for the Holy Land in 1109, leaving his great estates at his death to his brother Alphonse-Jourdain. The rule of this prince was disturbed by the ambition of William IX. and his grand</w:t>
        <w:softHyphen/>
        <w:t>daughter Eleanor, who urged her husband Louis VII. to support her claims to Toulouse by war. On her divorce from Louis and her marriage with Henry II., Eleanor’s claims passed on to this monarch, who at last forced Raymond V. to do him homage for Toulouse in 1173. Raymond V., the patron of the troubadours, died in 1194, and was succeeded by his son Raymond VI., under whose rule Languedoc was desolated by the remorseless crusaders of Simon de Montfort. Raymond VII., the son of Raymond VI. and Princess Joan of England, succeeded his father in 1222, and died in 1249, leaving an only daughter Joan, married to Alfonso the brother of Louis IX. On the death of Alfonso and Joan in 1271 the vast inheritance of the counts of Toulouse lapsed to the crown.@@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the middle years of the 12th century the people of Toulouse seem to have begun to free themselves from the most oppressive feudal dues. An act of Alphonse-Jourdain (1141) exempts them from the tax on salt and wine; and in 1152 we have traces of a “ commune consilium Tolos</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 making police ordinances in its own name “ with the advice of Lord Raymond, count of Toulouse, duke of Narbonne, and marquis of Provence.” This act is witnessed by six “ capitularii, ” four duly appointed judges </w:t>
      </w:r>
      <w:r>
        <w:rPr>
          <w:i/>
          <w:iCs/>
          <w:color w:val="000000"/>
          <w:spacing w:val="0"/>
          <w:w w:val="100"/>
          <w:position w:val="0"/>
          <w:shd w:val="clear" w:color="auto" w:fill="auto"/>
          <w:lang w:val="en-US" w:eastAsia="en-US" w:bidi="en-US"/>
        </w:rPr>
        <w:t xml:space="preserve">(judices constitute), </w:t>
      </w:r>
      <w:r>
        <w:rPr>
          <w:color w:val="000000"/>
          <w:spacing w:val="0"/>
          <w:w w:val="100"/>
          <w:position w:val="0"/>
          <w:shd w:val="clear" w:color="auto" w:fill="auto"/>
          <w:lang w:val="en-US" w:eastAsia="en-US" w:bidi="en-US"/>
        </w:rPr>
        <w:t>and two advocates. Twenty-three years later there are twelve capitularii or consuls, six for the city and six for its suburbs, all of them elected and sworn to do justice in whatever municipal matters were brought before them. In 1222 their number was increased to twenty-four; but they were forbidden to touch the city property, which was to remain in the charge of certain “ commun- arii ” chosen by themselves. Early in the 14th century the consuls took the name of “domini de capitulo,” or, a little later, that of “ capitulum nobilium.” From the 13th century the consuls met in their own house, the "palatium communitatis Tolos</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 or h</w:t>
      </w:r>
      <w:r>
        <w:rPr>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 xml:space="preserve">tel- de-ville. In the 16th century a false derivation changed the ancient consuls </w:t>
      </w:r>
      <w:r>
        <w:rPr>
          <w:i/>
          <w:iCs/>
          <w:color w:val="000000"/>
          <w:spacing w:val="0"/>
          <w:w w:val="100"/>
          <w:position w:val="0"/>
          <w:shd w:val="clear" w:color="auto" w:fill="auto"/>
          <w:lang w:val="en-US" w:eastAsia="en-US" w:bidi="en-US"/>
        </w:rPr>
        <w:t>(domini de capitulo)</w:t>
      </w:r>
      <w:r>
        <w:rPr>
          <w:color w:val="000000"/>
          <w:spacing w:val="0"/>
          <w:w w:val="100"/>
          <w:position w:val="0"/>
          <w:shd w:val="clear" w:color="auto" w:fill="auto"/>
          <w:lang w:val="en-US" w:eastAsia="en-US" w:bidi="en-US"/>
        </w:rPr>
        <w:t xml:space="preserve"> into the modern “ capitouls ” </w:t>
      </w:r>
      <w:r>
        <w:rPr>
          <w:i/>
          <w:iCs/>
          <w:color w:val="000000"/>
          <w:spacing w:val="0"/>
          <w:w w:val="100"/>
          <w:position w:val="0"/>
          <w:shd w:val="clear" w:color="auto" w:fill="auto"/>
          <w:lang w:val="en-US" w:eastAsia="en-US" w:bidi="en-US"/>
        </w:rPr>
        <w:t>(domini capitolii Tolosani),</w:t>
      </w:r>
      <w:r>
        <w:rPr>
          <w:color w:val="000000"/>
          <w:spacing w:val="0"/>
          <w:w w:val="100"/>
          <w:position w:val="0"/>
          <w:shd w:val="clear" w:color="auto" w:fill="auto"/>
          <w:lang w:val="en-US" w:eastAsia="en-US" w:bidi="en-US"/>
        </w:rPr>
        <w:t xml:space="preserve"> a barbarous etymology which in its turn has, in the present century, transformed the old assembly house of Toulouse into the capitole.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parlement of Toulouse was established as a permanent court in 1443. Louis XI. transferred it to Montpellier in 1467, but restored it to Toulouse before the close of the next year. This</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parlement was for Languedoc and southern France what the parle</w:t>
        <w:softHyphen/>
        <w:t>ment of Paris was for the north. Towards the end of the 16th cen</w:t>
        <w:softHyphen/>
        <w:t>tury, during the wars of the League, it was split up into three different sections, sitting respectively at Carcassonne or Beziers, at Castel Sarrasin, and at Toulouse. The three were reunited in 1596. Under Francis I. it began to persecute heretics, and in 1618 rendered itself notorious by burning the philosopher Vanini. The univer</w:t>
        <w:softHyphen/>
        <w:t>sity of Toulouse owes its origin to the action of Gregory IX., who in 1229 bound Raymond VII. to maintain four masters to teach theology and eight others for canon law, grammar, and the liberal arts. Civil law and medicine were taught only a few years later. The famous “Floral Games” of Toulouse, in which the poets of Languedoc contended (May 1-3) for the prize of the golden violet and other gold or silver flowers, given at the expense of the city, were instituted in 1323-24.</w:t>
      </w:r>
    </w:p>
    <w:p>
      <w:pPr>
        <w:pStyle w:val="Style7"/>
        <w:keepNext w:val="0"/>
        <w:keepLines w:val="0"/>
        <w:widowControl w:val="0"/>
        <w:shd w:val="clear" w:color="auto" w:fill="auto"/>
        <w:tabs>
          <w:tab w:pos="4149" w:val="left"/>
        </w:tabs>
        <w:bidi w:val="0"/>
        <w:spacing w:line="21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See, besides the various guide-books, De Vic and Vaissete, </w:t>
      </w:r>
      <w:r>
        <w:rPr>
          <w:i/>
          <w:iCs/>
          <w:color w:val="000000"/>
          <w:spacing w:val="0"/>
          <w:w w:val="100"/>
          <w:position w:val="0"/>
          <w:sz w:val="13"/>
          <w:szCs w:val="13"/>
          <w:shd w:val="clear" w:color="auto" w:fill="auto"/>
          <w:lang w:val="en-US" w:eastAsia="en-US" w:bidi="en-US"/>
        </w:rPr>
        <w:t>Histoire de Lan</w:t>
        <w:softHyphen/>
        <w:t>guedoc,</w:t>
      </w:r>
      <w:r>
        <w:rPr>
          <w:rFonts w:ascii="Arial" w:eastAsia="Arial" w:hAnsi="Arial" w:cs="Arial"/>
          <w:color w:val="000000"/>
          <w:spacing w:val="0"/>
          <w:w w:val="100"/>
          <w:position w:val="0"/>
          <w:sz w:val="12"/>
          <w:szCs w:val="12"/>
          <w:shd w:val="clear" w:color="auto" w:fill="auto"/>
          <w:lang w:val="en-US" w:eastAsia="en-US" w:bidi="en-US"/>
        </w:rPr>
        <w:t xml:space="preserve"> ed. 1873 </w:t>
      </w:r>
      <w:r>
        <w:rPr>
          <w:i/>
          <w:iCs/>
          <w:color w:val="000000"/>
          <w:spacing w:val="0"/>
          <w:w w:val="100"/>
          <w:position w:val="0"/>
          <w:sz w:val="13"/>
          <w:szCs w:val="13"/>
          <w:shd w:val="clear" w:color="auto" w:fill="auto"/>
          <w:lang w:val="en-US" w:eastAsia="en-US" w:bidi="en-US"/>
        </w:rPr>
        <w:t>sq.;</w:t>
      </w:r>
      <w:r>
        <w:rPr>
          <w:rFonts w:ascii="Arial" w:eastAsia="Arial" w:hAnsi="Arial" w:cs="Arial"/>
          <w:color w:val="000000"/>
          <w:spacing w:val="0"/>
          <w:w w:val="100"/>
          <w:position w:val="0"/>
          <w:sz w:val="12"/>
          <w:szCs w:val="12"/>
          <w:shd w:val="clear" w:color="auto" w:fill="auto"/>
          <w:lang w:val="en-US" w:eastAsia="en-US" w:bidi="en-US"/>
        </w:rPr>
        <w:t xml:space="preserve"> Catel, </w:t>
      </w:r>
      <w:r>
        <w:rPr>
          <w:i/>
          <w:iCs/>
          <w:color w:val="000000"/>
          <w:spacing w:val="0"/>
          <w:w w:val="100"/>
          <w:position w:val="0"/>
          <w:sz w:val="13"/>
          <w:szCs w:val="13"/>
          <w:shd w:val="clear" w:color="auto" w:fill="auto"/>
          <w:lang w:val="en-US" w:eastAsia="en-US" w:bidi="en-US"/>
        </w:rPr>
        <w:t>Histoire de Toulouse,</w:t>
      </w:r>
      <w:r>
        <w:rPr>
          <w:rFonts w:ascii="Arial" w:eastAsia="Arial" w:hAnsi="Arial" w:cs="Arial"/>
          <w:color w:val="000000"/>
          <w:spacing w:val="0"/>
          <w:w w:val="100"/>
          <w:position w:val="0"/>
          <w:sz w:val="12"/>
          <w:szCs w:val="12"/>
          <w:shd w:val="clear" w:color="auto" w:fill="auto"/>
          <w:lang w:val="en-US" w:eastAsia="en-US" w:bidi="en-US"/>
        </w:rPr>
        <w:t xml:space="preserve"> 1623; La Faille, </w:t>
      </w:r>
      <w:r>
        <w:rPr>
          <w:i/>
          <w:iCs/>
          <w:color w:val="000000"/>
          <w:spacing w:val="0"/>
          <w:w w:val="100"/>
          <w:position w:val="0"/>
          <w:sz w:val="13"/>
          <w:szCs w:val="13"/>
          <w:shd w:val="clear" w:color="auto" w:fill="auto"/>
          <w:lang w:val="en-US" w:eastAsia="en-US" w:bidi="en-US"/>
        </w:rPr>
        <w:t>Histoire de Toul</w:t>
        <w:softHyphen/>
        <w:t>ouse,</w:t>
      </w:r>
      <w:r>
        <w:rPr>
          <w:rFonts w:ascii="Arial" w:eastAsia="Arial" w:hAnsi="Arial" w:cs="Arial"/>
          <w:color w:val="000000"/>
          <w:spacing w:val="0"/>
          <w:w w:val="100"/>
          <w:position w:val="0"/>
          <w:sz w:val="12"/>
          <w:szCs w:val="12"/>
          <w:shd w:val="clear" w:color="auto" w:fill="auto"/>
          <w:lang w:val="en-US" w:eastAsia="en-US" w:bidi="en-US"/>
        </w:rPr>
        <w:t xml:space="preserve"> 1687, 1701; Du M</w:t>
      </w:r>
      <w:r>
        <w:rPr>
          <w:color w:val="000000"/>
          <w:spacing w:val="0"/>
          <w:w w:val="100"/>
          <w:position w:val="0"/>
          <w:sz w:val="12"/>
          <w:szCs w:val="12"/>
          <w:shd w:val="clear" w:color="auto" w:fill="auto"/>
          <w:lang w:val="en-US" w:eastAsia="en-US" w:bidi="en-US"/>
        </w:rPr>
        <w:t>ê</w:t>
      </w:r>
      <w:r>
        <w:rPr>
          <w:rFonts w:ascii="Arial" w:eastAsia="Arial" w:hAnsi="Arial" w:cs="Arial"/>
          <w:color w:val="000000"/>
          <w:spacing w:val="0"/>
          <w:w w:val="100"/>
          <w:position w:val="0"/>
          <w:sz w:val="12"/>
          <w:szCs w:val="12"/>
          <w:shd w:val="clear" w:color="auto" w:fill="auto"/>
          <w:lang w:val="en-US" w:eastAsia="en-US" w:bidi="en-US"/>
        </w:rPr>
        <w:t xml:space="preserve">ge, </w:t>
      </w:r>
      <w:r>
        <w:rPr>
          <w:i/>
          <w:iCs/>
          <w:color w:val="000000"/>
          <w:spacing w:val="0"/>
          <w:w w:val="100"/>
          <w:position w:val="0"/>
          <w:sz w:val="13"/>
          <w:szCs w:val="13"/>
          <w:shd w:val="clear" w:color="auto" w:fill="auto"/>
          <w:lang w:val="en-US" w:eastAsia="en-US" w:bidi="en-US"/>
        </w:rPr>
        <w:t>Histoire des institutions de Toulouse,</w:t>
      </w:r>
      <w:r>
        <w:rPr>
          <w:rFonts w:ascii="Arial" w:eastAsia="Arial" w:hAnsi="Arial" w:cs="Arial"/>
          <w:color w:val="000000"/>
          <w:spacing w:val="0"/>
          <w:w w:val="100"/>
          <w:position w:val="0"/>
          <w:sz w:val="12"/>
          <w:szCs w:val="12"/>
          <w:shd w:val="clear" w:color="auto" w:fill="auto"/>
          <w:lang w:val="en-US" w:eastAsia="en-US" w:bidi="en-US"/>
        </w:rPr>
        <w:t xml:space="preserve"> 4 vols., 1844- 46; D'Aldeguier, </w:t>
      </w:r>
      <w:r>
        <w:rPr>
          <w:i/>
          <w:iCs/>
          <w:color w:val="000000"/>
          <w:spacing w:val="0"/>
          <w:w w:val="100"/>
          <w:position w:val="0"/>
          <w:sz w:val="13"/>
          <w:szCs w:val="13"/>
          <w:shd w:val="clear" w:color="auto" w:fill="auto"/>
          <w:lang w:val="en-US" w:eastAsia="en-US" w:bidi="en-US"/>
        </w:rPr>
        <w:t>Histoire de la Ville de Toulouse,</w:t>
      </w:r>
      <w:r>
        <w:rPr>
          <w:rFonts w:ascii="Arial" w:eastAsia="Arial" w:hAnsi="Arial" w:cs="Arial"/>
          <w:color w:val="000000"/>
          <w:spacing w:val="0"/>
          <w:w w:val="100"/>
          <w:position w:val="0"/>
          <w:sz w:val="12"/>
          <w:szCs w:val="12"/>
          <w:shd w:val="clear" w:color="auto" w:fill="auto"/>
          <w:lang w:val="en-US" w:eastAsia="en-US" w:bidi="en-US"/>
        </w:rPr>
        <w:t xml:space="preserve"> 1833-35.</w:t>
        <w:tab/>
        <w:t>(T. A. A.)</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TOUNG-NG</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a district in the extreme north of the Tenasserim division of Burmah, with an area of 6354 square miles, and lying between 17° 37' and 19° 28' N. lat., and between 95° 53' and 96° 53' E. long. It is bounded on the N. by Upper Burmah, on the E. by a high mountain range known as the “Great Watershed,” on the S. by Shwe-gyeng district, and on the W. by the Pegu Yomas. Three mountain ranges traverse the district—the Pegu Yomas, the Poung-loung, and the Nat-toung or “Great Watershed,”—all of which have a north and south direc</w:t>
        <w:softHyphen/>
        <w:t>tion, and are covered for the most part with dense forest. The Pegu Yomas have a general elevation of from 800 to 1200 feet, while the central range averages from 2000 to 3000 feet. The rest of Toung-ng</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forms the upper portion of the valley of the Tsit-toung (Sittang) river, the only large river in the district, the chief tributaries of which are the Tshwa, Khaboung, Hpyu, Thouk-re-gat, and Rouk- thwa-wa, all being navigable for a great portion of their course. Limestone appears in various places, and in the north-east a light grey marble is quarried for lime. The rivers form the chief means of communication during the rainy season. Of late years some good roads have been constructed, and the Burmah State Railway, when com</w:t>
        <w:softHyphen/>
        <w:t>pleted, will intersect the district from south to north.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1881 the population numbered 128,848 (males 68,484, females 60,364), of whom 93,997 were Buddhists, 17,448 Christians, 2086 Hindus, 1962 Mohammedans, and 12,612 aborigines. The only town in the district is Toung-ng</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on the Tsit-toung river in 18° 55' 24" N. lat. and 96° 31' 4" E. long., with a population of 17,199 in 1881. Of the total area only 59 square miles are actually under cultivation, owing mainly to the hilly nature of the country. Rice is the chief product; other crops include oil-seeds, sugar</w:t>
        <w:softHyphen/>
        <w:t>cane, cotton, fruit, and vegetables. The principal manufactures are silk, saltpetre, and gunpowder. In 1885-86 the gross value of the district was £15,098, of which the land produced £5880.</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TOUR, </w:t>
      </w:r>
      <w:r>
        <w:rPr>
          <w:smallCaps/>
          <w:color w:val="000000"/>
          <w:spacing w:val="0"/>
          <w:w w:val="100"/>
          <w:position w:val="0"/>
          <w:shd w:val="clear" w:color="auto" w:fill="auto"/>
          <w:lang w:val="en-US" w:eastAsia="en-US" w:bidi="en-US"/>
        </w:rPr>
        <w:t>Maurice Quentin de la</w:t>
      </w:r>
      <w:r>
        <w:rPr>
          <w:color w:val="000000"/>
          <w:spacing w:val="0"/>
          <w:w w:val="100"/>
          <w:position w:val="0"/>
          <w:shd w:val="clear" w:color="auto" w:fill="auto"/>
          <w:lang w:val="en-US" w:eastAsia="en-US" w:bidi="en-US"/>
        </w:rPr>
        <w:t xml:space="preserve"> (1704-1788), the renowned pastellist, was born at St Quentin on the 5th September 1704. On leaving Picardy for Paris he entered the studio of an artist named Du Pouche, and then that of Spo</w:t>
      </w:r>
      <w:r>
        <w:rPr>
          <w:color w:val="000000"/>
          <w:spacing w:val="0"/>
          <w:w w:val="100"/>
          <w:position w:val="0"/>
          <w:shd w:val="clear" w:color="auto" w:fill="auto"/>
          <w:lang w:val="en-US" w:eastAsia="en-US" w:bidi="en-US"/>
        </w:rPr>
        <w:t>éd</w:t>
      </w:r>
      <w:r>
        <w:rPr>
          <w:color w:val="000000"/>
          <w:spacing w:val="0"/>
          <w:w w:val="100"/>
          <w:position w:val="0"/>
          <w:shd w:val="clear" w:color="auto" w:fill="auto"/>
          <w:lang w:val="en-US" w:eastAsia="en-US" w:bidi="en-US"/>
        </w:rPr>
        <w:t>e,—an upright man, but a poor master, rector of the Academy of St Luke, who still continued, in the teeth of the Royal Academy, the traditions of the old guild of the master-painters of Paris. This possibly contributed to the adoption by De la Tour of a line of work foreign to that imposed by an academical training; for pastels, though occasionally used, were not a principal and distinct branch of work until 1720, when Rosalba Carriera brought them into fashion with the Parisian world. In 1737 De la Tour exhibited the first of that splendid series of a hundred and fifty portraits which formed the glory of the Salon for the succeeding thirty-seven years. In 1746 he was received by the Academy; and in 1751, the following year to that in which he received the title of painter to the king, he was promoted by that body to the grade of councillor. His work had the rare merit to satisfy at once both the taste of his fashionable models and the judgment of his brother artists. His art, consummate of its kind, achieved</w:t>
      </w:r>
    </w:p>
    <w:p>
      <w:pPr>
        <w:pStyle w:val="Style7"/>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About 975 there was a partition of the estates which William Taillefer and his cousin Raymond II. of Auvergne held in common,—Albi, Querci, &amp;c., falling to William, and Gothia, &amp;c., to Raymond.</w:t>
      </w:r>
    </w:p>
    <w:p>
      <w:pPr>
        <w:pStyle w:val="Style7"/>
        <w:keepNext w:val="0"/>
        <w:keepLines w:val="0"/>
        <w:widowControl w:val="0"/>
        <w:shd w:val="clear" w:color="auto" w:fill="auto"/>
        <w:tabs>
          <w:tab w:leader="dot" w:pos="1561" w:val="right"/>
          <w:tab w:pos="1677" w:val="left"/>
          <w:tab w:leader="dot" w:pos="4254" w:val="left"/>
        </w:tabs>
        <w:bidi w:val="0"/>
        <w:spacing w:line="276"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List of the counts of Toulouse, mainly from De Vic and Vaissete :— Chorson</w:t>
        <w:tab/>
        <w:t xml:space="preserve"> 778-790</w:t>
        <w:tab/>
        <w:t>Raymond II. 918-924 Bertrand</w:t>
        <w:tab/>
        <w:t xml:space="preserve"> 1096-1109</w:t>
      </w:r>
    </w:p>
    <w:p>
      <w:pPr>
        <w:pStyle w:val="Style7"/>
        <w:keepNext w:val="0"/>
        <w:keepLines w:val="0"/>
        <w:widowControl w:val="0"/>
        <w:shd w:val="clear" w:color="auto" w:fill="auto"/>
        <w:tabs>
          <w:tab w:leader="dot" w:pos="1565" w:val="right"/>
          <w:tab w:pos="1638" w:val="left"/>
          <w:tab w:pos="3273" w:val="right"/>
          <w:tab w:pos="3343"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William</w:t>
        <w:tab/>
        <w:t xml:space="preserve"> 790-806</w:t>
        <w:tab/>
        <w:t>Raymond III. 924-</w:t>
      </w:r>
      <w:r>
        <w:rPr>
          <w:rFonts w:ascii="Arial" w:eastAsia="Arial" w:hAnsi="Arial" w:cs="Arial"/>
          <w:i/>
          <w:iCs/>
          <w:color w:val="000000"/>
          <w:spacing w:val="0"/>
          <w:w w:val="100"/>
          <w:position w:val="0"/>
          <w:sz w:val="12"/>
          <w:szCs w:val="12"/>
          <w:shd w:val="clear" w:color="auto" w:fill="auto"/>
          <w:lang w:val="en-US" w:eastAsia="en-US" w:bidi="en-US"/>
        </w:rPr>
        <w:t>c</w:t>
      </w:r>
      <w:r>
        <w:rPr>
          <w:rFonts w:ascii="Arial" w:eastAsia="Arial" w:hAnsi="Arial" w:cs="Arial"/>
          <w:color w:val="000000"/>
          <w:spacing w:val="0"/>
          <w:w w:val="100"/>
          <w:position w:val="0"/>
          <w:sz w:val="12"/>
          <w:szCs w:val="12"/>
          <w:shd w:val="clear" w:color="auto" w:fill="auto"/>
          <w:lang w:val="en-US" w:eastAsia="en-US" w:bidi="en-US"/>
        </w:rPr>
        <w:t>.950</w:t>
        <w:tab/>
        <w:t>Alphonse-Jour-</w:t>
      </w:r>
    </w:p>
    <w:p>
      <w:pPr>
        <w:pStyle w:val="Style7"/>
        <w:keepNext w:val="0"/>
        <w:keepLines w:val="0"/>
        <w:widowControl w:val="0"/>
        <w:shd w:val="clear" w:color="auto" w:fill="auto"/>
        <w:tabs>
          <w:tab w:leader="dot" w:pos="903" w:val="left"/>
          <w:tab w:leader="dot" w:pos="1561" w:val="right"/>
          <w:tab w:pos="1677" w:val="left"/>
          <w:tab w:pos="1802" w:val="left"/>
          <w:tab w:leader="dot" w:pos="2499" w:val="left"/>
          <w:tab w:pos="3339" w:val="left"/>
          <w:tab w:pos="3479" w:val="left"/>
          <w:tab w:leader="dot" w:pos="4915" w:val="right"/>
          <w:tab w:pos="4915" w:val="righ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b/>
        <w:tab/>
        <w:t>Garsende, for</w:t>
        <w:tab/>
        <w:t>dain</w:t>
        <w:tab/>
        <w:t xml:space="preserve"> 1109-1148 Berenger</w:t>
        <w:tab/>
        <w:t xml:space="preserve"> 817-835</w:t>
        <w:tab/>
        <w:t>her son</w:t>
        <w:tab/>
        <w:t>c.950-c. 975</w:t>
        <w:tab/>
        <w:t>Raymond V....</w:t>
        <w:tab/>
        <w:t>1148-1194</w:t>
      </w:r>
    </w:p>
    <w:p>
      <w:pPr>
        <w:pStyle w:val="Style7"/>
        <w:keepNext w:val="0"/>
        <w:keepLines w:val="0"/>
        <w:widowControl w:val="0"/>
        <w:shd w:val="clear" w:color="auto" w:fill="auto"/>
        <w:tabs>
          <w:tab w:leader="dot" w:pos="1561" w:val="right"/>
          <w:tab w:pos="1635" w:val="left"/>
          <w:tab w:pos="3339" w:val="left"/>
          <w:tab w:pos="4912" w:val="righ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Ecfrid</w:t>
        <w:tab/>
        <w:t xml:space="preserve"> 835-845</w:t>
        <w:tab/>
        <w:t>William Tail-</w:t>
        <w:tab/>
        <w:t>Raymond VI...</w:t>
        <w:tab/>
        <w:t>1194-1222</w:t>
      </w:r>
    </w:p>
    <w:p>
      <w:pPr>
        <w:pStyle w:val="Style7"/>
        <w:keepNext w:val="0"/>
        <w:keepLines w:val="0"/>
        <w:widowControl w:val="0"/>
        <w:shd w:val="clear" w:color="auto" w:fill="auto"/>
        <w:tabs>
          <w:tab w:leader="dot" w:pos="1557" w:val="right"/>
          <w:tab w:pos="1802" w:val="left"/>
          <w:tab w:leader="dot" w:pos="2487" w:val="left"/>
          <w:tab w:pos="3335" w:val="left"/>
          <w:tab w:pos="4908" w:val="righ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Fridolo</w:t>
        <w:tab/>
        <w:t xml:space="preserve"> 845-852</w:t>
        <w:tab/>
        <w:t>lefer</w:t>
        <w:tab/>
        <w:t>C.975-C.1037</w:t>
        <w:tab/>
        <w:t>Raymond VII.</w:t>
        <w:tab/>
        <w:t>1222-1249</w:t>
      </w:r>
    </w:p>
    <w:p>
      <w:pPr>
        <w:pStyle w:val="Style7"/>
        <w:keepNext w:val="0"/>
        <w:keepLines w:val="0"/>
        <w:widowControl w:val="0"/>
        <w:shd w:val="clear" w:color="auto" w:fill="auto"/>
        <w:tabs>
          <w:tab w:leader="dot" w:pos="1565" w:val="right"/>
          <w:tab w:pos="1635" w:val="left"/>
          <w:tab w:leader="dot" w:pos="2499" w:val="left"/>
          <w:tab w:pos="3339"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Raymond 1</w:t>
        <w:tab/>
        <w:t xml:space="preserve"> 852-864</w:t>
        <w:tab/>
        <w:t>Pons</w:t>
        <w:tab/>
        <w:t xml:space="preserve"> 1037-1060</w:t>
        <w:tab/>
        <w:t>Alfonso and</w:t>
      </w:r>
    </w:p>
    <w:p>
      <w:pPr>
        <w:pStyle w:val="Style7"/>
        <w:keepNext w:val="0"/>
        <w:keepLines w:val="0"/>
        <w:widowControl w:val="0"/>
        <w:shd w:val="clear" w:color="auto" w:fill="auto"/>
        <w:tabs>
          <w:tab w:leader="dot" w:pos="1557" w:val="right"/>
          <w:tab w:pos="1685" w:val="left"/>
          <w:tab w:pos="3437" w:val="left"/>
          <w:tab w:leader="dot" w:pos="4912" w:val="righ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Bernard</w:t>
        <w:tab/>
        <w:t xml:space="preserve"> 864-875</w:t>
        <w:tab/>
        <w:t>William IV... 1060-C.1093</w:t>
        <w:tab/>
        <w:t>Joan</w:t>
        <w:tab/>
        <w:t xml:space="preserve"> 1249-1271</w:t>
      </w:r>
    </w:p>
    <w:p>
      <w:pPr>
        <w:pStyle w:val="Style7"/>
        <w:keepNext w:val="0"/>
        <w:keepLines w:val="0"/>
        <w:widowControl w:val="0"/>
        <w:shd w:val="clear" w:color="auto" w:fill="auto"/>
        <w:tabs>
          <w:tab w:leader="dot" w:pos="1055"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Eudo</w:t>
        <w:tab/>
        <w:t xml:space="preserve"> 875-918 Raymond IV. 1093-1105</w:t>
      </w:r>
    </w:p>
    <w:p>
      <w:pPr>
        <w:widowControl w:val="0"/>
        <w:spacing w:line="1" w:lineRule="exact"/>
      </w:pPr>
    </w:p>
    <w:sectPr>
      <w:footnotePr>
        <w:pos w:val="pageBottom"/>
        <w:numFmt w:val="decimal"/>
        <w:numRestart w:val="continuous"/>
      </w:footnotePr>
      <w:type w:val="continuous"/>
      <w:pgSz w:w="12240" w:h="20160"/>
      <w:pgMar w:top="3141" w:left="1154" w:right="947" w:bottom="21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Body text (11)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Body text (11)"/>
    <w:basedOn w:val="Normal"/>
    <w:link w:val="CharStyle13"/>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