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94" w:lineRule="auto"/>
        <w:ind w:left="0" w:firstLine="0"/>
        <w:jc w:val="left"/>
      </w:pPr>
      <w:r>
        <w:rPr>
          <w:color w:val="000000"/>
          <w:spacing w:val="0"/>
          <w:w w:val="100"/>
          <w:position w:val="0"/>
          <w:shd w:val="clear" w:color="auto" w:fill="auto"/>
          <w:lang w:val="en-US" w:eastAsia="en-US" w:bidi="en-US"/>
        </w:rPr>
        <w:t>VIII. The archbishop’s palace is to the right of the cathedral, with an interesting chapel of the 12th century, and an outside pulpit of the 16th. During the 10th century the Benedictine abbey of St Julien was re-established by Archbishop Th</w:t>
      </w:r>
      <w:r>
        <w:rPr>
          <w:color w:val="000000"/>
          <w:spacing w:val="0"/>
          <w:w w:val="100"/>
          <w:position w:val="0"/>
          <w:shd w:val="clear" w:color="auto" w:fill="auto"/>
          <w:lang w:val="en-US" w:eastAsia="en-US" w:bidi="en-US"/>
        </w:rPr>
        <w:t>é</w:t>
      </w:r>
      <w:r>
        <w:rPr>
          <w:color w:val="000000"/>
          <w:spacing w:val="0"/>
          <w:w w:val="100"/>
          <w:position w:val="0"/>
          <w:shd w:val="clear" w:color="auto" w:fill="auto"/>
          <w:lang w:val="en-US" w:eastAsia="en-US" w:bidi="en-US"/>
        </w:rPr>
        <w:t>otolon, and a Romanesque church built, of which the great square tower still remains. St Julien has a fine nave and double aisles; the straight terminal wall has two 16th-century apses attached. There are some paintings of the 12th century under the tower.</w:t>
      </w:r>
    </w:p>
    <w:p>
      <w:pPr>
        <w:pStyle w:val="Style3"/>
        <w:keepNext w:val="0"/>
        <w:keepLines w:val="0"/>
        <w:widowControl w:val="0"/>
        <w:shd w:val="clear" w:color="auto" w:fill="auto"/>
        <w:bidi w:val="0"/>
        <w:spacing w:line="194" w:lineRule="auto"/>
        <w:ind w:left="0" w:firstLine="360"/>
        <w:jc w:val="left"/>
      </w:pPr>
      <w:r>
        <w:rPr>
          <w:color w:val="000000"/>
          <w:spacing w:val="0"/>
          <w:w w:val="100"/>
          <w:position w:val="0"/>
          <w:shd w:val="clear" w:color="auto" w:fill="auto"/>
          <w:lang w:val="en-US" w:eastAsia="en-US" w:bidi="en-US"/>
        </w:rPr>
        <w:t>The magnificence of Tours declined in the 14th century; it was then united to Ch</w:t>
      </w:r>
      <w:r>
        <w:rPr>
          <w:color w:val="000000"/>
          <w:spacing w:val="0"/>
          <w:w w:val="100"/>
          <w:position w:val="0"/>
          <w:shd w:val="clear" w:color="auto" w:fill="auto"/>
          <w:lang w:val="en-US" w:eastAsia="en-US" w:bidi="en-US"/>
        </w:rPr>
        <w:t>â</w:t>
      </w:r>
      <w:r>
        <w:rPr>
          <w:color w:val="000000"/>
          <w:spacing w:val="0"/>
          <w:w w:val="100"/>
          <w:position w:val="0"/>
          <w:shd w:val="clear" w:color="auto" w:fill="auto"/>
          <w:lang w:val="en-US" w:eastAsia="en-US" w:bidi="en-US"/>
        </w:rPr>
        <w:t>teauneuf by a common wall, of which an elegant round tower (the Tour de Guise) remains near the quay, and both towns were put under the same government. The numerous and long-continued visits of Charles VII., Louis XI., and Charles VIII. in Touraine during the 15th century favoured the commerce and industry of the town, then peopled by 75,000 inhabitants. To the flourishing school of art which existed at the Renaissance are due several private houses, a fountain, and the church of Notre Dame La Riche, with splendid windows by Pinaigrier. An unimportant building, part of a modern chateau, is all that remains of the royal residence and magnificent gardens of Plessis-l</w:t>
      </w:r>
      <w:r>
        <w:rPr>
          <w:color w:val="000000"/>
          <w:spacing w:val="0"/>
          <w:w w:val="100"/>
          <w:position w:val="0"/>
          <w:shd w:val="clear" w:color="auto" w:fill="auto"/>
          <w:lang w:val="en-US" w:eastAsia="en-US" w:bidi="en-US"/>
        </w:rPr>
        <w:t>é</w:t>
      </w:r>
      <w:r>
        <w:rPr>
          <w:color w:val="000000"/>
          <w:spacing w:val="0"/>
          <w:w w:val="100"/>
          <w:position w:val="0"/>
          <w:shd w:val="clear" w:color="auto" w:fill="auto"/>
          <w:lang w:val="en-US" w:eastAsia="en-US" w:bidi="en-US"/>
        </w:rPr>
        <w:t>s-Tours, where Louis XL shut himself up and died, the states in 1506 proclaimed Louis XII. the father of his people, and Henry III. and Henry of Navarre united in 1589 against the League. From that year Tours was deserted by the kings of France. A fine bridge of fifteen arches was built across the Loire from 1765 to 1777 by Bayeux. The chief modern buildings are the theatre, the church of St Joseph, the railway station, and a museum with collections of antiquities, pictures, pottery, and mineralogy. There are also antiquities in the museum of the arch</w:t>
      </w:r>
      <w:r>
        <w:rPr>
          <w:color w:val="000000"/>
          <w:spacing w:val="0"/>
          <w:w w:val="100"/>
          <w:position w:val="0"/>
          <w:shd w:val="clear" w:color="auto" w:fill="auto"/>
          <w:lang w:val="en-US" w:eastAsia="en-US" w:bidi="en-US"/>
        </w:rPr>
        <w:t>æ</w:t>
      </w:r>
      <w:r>
        <w:rPr>
          <w:color w:val="000000"/>
          <w:spacing w:val="0"/>
          <w:w w:val="100"/>
          <w:position w:val="0"/>
          <w:shd w:val="clear" w:color="auto" w:fill="auto"/>
          <w:lang w:val="en-US" w:eastAsia="en-US" w:bidi="en-US"/>
        </w:rPr>
        <w:t>ological society of Indre-et-Loire. The gardens and a remarkable portal of the archbishop’s palace, a magnificent iron gate of the 18th century in the prefecture, once the convent of the Visitation, and the general hospital (1200 beds) should also be mentioned. In 1870 Tours was the seat of the government of the national defence. Tours is the birthplace of the heretic Berengarius, the two marshals Boucicaut, the novelist Honor</w:t>
      </w:r>
      <w:r>
        <w:rPr>
          <w:color w:val="000000"/>
          <w:spacing w:val="0"/>
          <w:w w:val="100"/>
          <w:position w:val="0"/>
          <w:shd w:val="clear" w:color="auto" w:fill="auto"/>
          <w:lang w:val="en-US" w:eastAsia="en-US" w:bidi="en-US"/>
        </w:rPr>
        <w:t>é</w:t>
      </w:r>
      <w:r>
        <w:rPr>
          <w:color w:val="000000"/>
          <w:spacing w:val="0"/>
          <w:w w:val="100"/>
          <w:position w:val="0"/>
          <w:shd w:val="clear" w:color="auto" w:fill="auto"/>
          <w:lang w:val="en-US" w:eastAsia="en-US" w:bidi="en-US"/>
        </w:rPr>
        <w:t xml:space="preserve"> de Balzac, the poet Destouches, the painters Fouquet and Clouet, and Madame de la Valli</w:t>
      </w:r>
      <w:r>
        <w:rPr>
          <w:color w:val="000000"/>
          <w:spacing w:val="0"/>
          <w:w w:val="100"/>
          <w:position w:val="0"/>
          <w:shd w:val="clear" w:color="auto" w:fill="auto"/>
          <w:lang w:val="en-US" w:eastAsia="en-US" w:bidi="en-US"/>
        </w:rPr>
        <w:t>è</w:t>
      </w:r>
      <w:r>
        <w:rPr>
          <w:color w:val="000000"/>
          <w:spacing w:val="0"/>
          <w:w w:val="100"/>
          <w:position w:val="0"/>
          <w:shd w:val="clear" w:color="auto" w:fill="auto"/>
          <w:lang w:val="en-US" w:eastAsia="en-US" w:bidi="en-US"/>
        </w:rPr>
        <w:t>re.</w:t>
      </w:r>
    </w:p>
    <w:p>
      <w:pPr>
        <w:pStyle w:val="Style6"/>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 xml:space="preserve">TOUSSAINT LOUVERTURE, </w:t>
      </w:r>
      <w:r>
        <w:rPr>
          <w:smallCaps/>
          <w:color w:val="000000"/>
          <w:spacing w:val="0"/>
          <w:w w:val="100"/>
          <w:position w:val="0"/>
          <w:shd w:val="clear" w:color="auto" w:fill="auto"/>
          <w:lang w:val="en-US" w:eastAsia="en-US" w:bidi="en-US"/>
        </w:rPr>
        <w:t xml:space="preserve">Pierre - Dominique </w:t>
      </w:r>
      <w:r>
        <w:rPr>
          <w:color w:val="000000"/>
          <w:spacing w:val="0"/>
          <w:w w:val="100"/>
          <w:position w:val="0"/>
          <w:shd w:val="clear" w:color="auto" w:fill="auto"/>
          <w:lang w:val="en-US" w:eastAsia="en-US" w:bidi="en-US"/>
        </w:rPr>
        <w:t>(1746-1803), one of the liberators of Hayti, claimed to be descended from an African chief, his father, a slave in Hayti, being the chief’s second son. He was born 20th May 1746 at Breda, and was at first surnamed Breda, which was changed to Louverture in token of the results of his valour in causing a gap in the ranks of the enemy. From childhood he manifested unusual abilities, and suc</w:t>
        <w:softHyphen/>
        <w:t>ceeded, by making the utmost use of every opportunity, in obtaining a remarkably good education. He obtained the special confidence of his master, and was made super</w:t>
        <w:softHyphen/>
        <w:t>intendent of the other negroes on the plantation. After the insurrection of 1791 he joined the insurgents, and, having acquired some knowledge of surgery and medicine, acted as physician to the forces. His rapid rise in influ</w:t>
        <w:softHyphen/>
        <w:t>ence aroused, however, the jealousy of Jean Fran</w:t>
      </w:r>
      <w:r>
        <w:rPr>
          <w:color w:val="000000"/>
          <w:spacing w:val="0"/>
          <w:w w:val="100"/>
          <w:position w:val="0"/>
          <w:shd w:val="clear" w:color="auto" w:fill="auto"/>
          <w:lang w:val="en-US" w:eastAsia="en-US" w:bidi="en-US"/>
        </w:rPr>
        <w:t>ç</w:t>
      </w:r>
      <w:r>
        <w:rPr>
          <w:color w:val="000000"/>
          <w:spacing w:val="0"/>
          <w:w w:val="100"/>
          <w:position w:val="0"/>
          <w:shd w:val="clear" w:color="auto" w:fill="auto"/>
          <w:lang w:val="en-US" w:eastAsia="en-US" w:bidi="en-US"/>
        </w:rPr>
        <w:t>ois, who caused his arrest on the ground of his partiality to the whites. He was liberated by the rival insurgent chief Baisson, and a partisan war ensued, but after the death of Baisson he placed himself under the orders of Jean Fran</w:t>
      </w:r>
      <w:r>
        <w:rPr>
          <w:color w:val="000000"/>
          <w:spacing w:val="0"/>
          <w:w w:val="100"/>
          <w:position w:val="0"/>
          <w:shd w:val="clear" w:color="auto" w:fill="auto"/>
          <w:lang w:val="en-US" w:eastAsia="en-US" w:bidi="en-US"/>
        </w:rPr>
        <w:t>ç</w:t>
      </w:r>
      <w:r>
        <w:rPr>
          <w:color w:val="000000"/>
          <w:spacing w:val="0"/>
          <w:w w:val="100"/>
          <w:position w:val="0"/>
          <w:shd w:val="clear" w:color="auto" w:fill="auto"/>
          <w:lang w:val="en-US" w:eastAsia="en-US" w:bidi="en-US"/>
        </w:rPr>
        <w:t>ois. Subsequently he joined the Spaniards, but, when the French Government ratified the Act declaring the freedom of the slaves, he came to the aid of the French. In 1796 he was named commander-in-chief of the armies of St Domingo, but, having raised and disciplined a power</w:t>
        <w:softHyphen/>
        <w:t xml:space="preserve">ful army of blacks, he made himself master of the whole country, renounced the authority of France, and announced himself “the Buonaparte of St Domingo.” For further details of his career see </w:t>
      </w:r>
      <w:r>
        <w:rPr>
          <w:smallCaps/>
          <w:color w:val="000000"/>
          <w:spacing w:val="0"/>
          <w:w w:val="100"/>
          <w:position w:val="0"/>
          <w:shd w:val="clear" w:color="auto" w:fill="auto"/>
          <w:lang w:val="en-US" w:eastAsia="en-US" w:bidi="en-US"/>
        </w:rPr>
        <w:t>Hayti</w:t>
      </w:r>
      <w:r>
        <w:rPr>
          <w:color w:val="000000"/>
          <w:spacing w:val="0"/>
          <w:w w:val="100"/>
          <w:position w:val="0"/>
          <w:shd w:val="clear" w:color="auto" w:fill="auto"/>
          <w:lang w:val="en-US" w:eastAsia="en-US" w:bidi="en-US"/>
        </w:rPr>
        <w:t xml:space="preserve"> (vol. xi. p. 545). He was taken prisoner by treachery on the part of France, and died in the prison of Joux, near Besan</w:t>
      </w:r>
      <w:r>
        <w:rPr>
          <w:color w:val="000000"/>
          <w:spacing w:val="0"/>
          <w:w w:val="100"/>
          <w:position w:val="0"/>
          <w:shd w:val="clear" w:color="auto" w:fill="auto"/>
          <w:lang w:val="en-US" w:eastAsia="en-US" w:bidi="en-US"/>
        </w:rPr>
        <w:t>ç</w:t>
      </w:r>
      <w:r>
        <w:rPr>
          <w:color w:val="000000"/>
          <w:spacing w:val="0"/>
          <w:w w:val="100"/>
          <w:position w:val="0"/>
          <w:shd w:val="clear" w:color="auto" w:fill="auto"/>
          <w:lang w:val="en-US" w:eastAsia="en-US" w:bidi="en-US"/>
        </w:rPr>
        <w:t>on, 27th April 1803.</w:t>
      </w:r>
    </w:p>
    <w:p>
      <w:pPr>
        <w:pStyle w:val="Style10"/>
        <w:keepNext w:val="0"/>
        <w:keepLines w:val="0"/>
        <w:widowControl w:val="0"/>
        <w:shd w:val="clear" w:color="auto" w:fill="auto"/>
        <w:bidi w:val="0"/>
        <w:spacing w:line="204" w:lineRule="auto"/>
        <w:ind w:left="0" w:firstLine="360"/>
        <w:jc w:val="left"/>
        <w:rPr>
          <w:sz w:val="18"/>
          <w:szCs w:val="18"/>
        </w:rPr>
      </w:pPr>
      <w:r>
        <w:rPr>
          <w:color w:val="000000"/>
          <w:spacing w:val="0"/>
          <w:w w:val="100"/>
          <w:position w:val="0"/>
          <w:sz w:val="18"/>
          <w:szCs w:val="18"/>
          <w:shd w:val="clear" w:color="auto" w:fill="auto"/>
          <w:lang w:val="en-US" w:eastAsia="en-US" w:bidi="en-US"/>
        </w:rPr>
        <w:t xml:space="preserve">See </w:t>
      </w:r>
      <w:r>
        <w:rPr>
          <w:i/>
          <w:iCs/>
          <w:color w:val="000000"/>
          <w:spacing w:val="0"/>
          <w:w w:val="100"/>
          <w:position w:val="0"/>
          <w:sz w:val="16"/>
          <w:szCs w:val="16"/>
          <w:shd w:val="clear" w:color="auto" w:fill="auto"/>
          <w:lang w:val="en-US" w:eastAsia="en-US" w:bidi="en-US"/>
        </w:rPr>
        <w:t>M</w:t>
      </w:r>
      <w:r>
        <w:rPr>
          <w:i/>
          <w:iCs/>
          <w:color w:val="000000"/>
          <w:spacing w:val="0"/>
          <w:w w:val="100"/>
          <w:position w:val="0"/>
          <w:sz w:val="16"/>
          <w:szCs w:val="16"/>
          <w:shd w:val="clear" w:color="auto" w:fill="auto"/>
          <w:lang w:val="en-US" w:eastAsia="en-US" w:bidi="en-US"/>
        </w:rPr>
        <w:t>é</w:t>
      </w:r>
      <w:r>
        <w:rPr>
          <w:i/>
          <w:iCs/>
          <w:color w:val="000000"/>
          <w:spacing w:val="0"/>
          <w:w w:val="100"/>
          <w:position w:val="0"/>
          <w:sz w:val="16"/>
          <w:szCs w:val="16"/>
          <w:shd w:val="clear" w:color="auto" w:fill="auto"/>
          <w:lang w:val="en-US" w:eastAsia="en-US" w:bidi="en-US"/>
        </w:rPr>
        <w:t>moires</w:t>
      </w:r>
      <w:r>
        <w:rPr>
          <w:color w:val="000000"/>
          <w:spacing w:val="0"/>
          <w:w w:val="100"/>
          <w:position w:val="0"/>
          <w:sz w:val="18"/>
          <w:szCs w:val="18"/>
          <w:shd w:val="clear" w:color="auto" w:fill="auto"/>
          <w:lang w:val="en-US" w:eastAsia="en-US" w:bidi="en-US"/>
        </w:rPr>
        <w:t xml:space="preserve"> written by himself, 1853; Saint-R</w:t>
      </w:r>
      <w:r>
        <w:rPr>
          <w:color w:val="000000"/>
          <w:spacing w:val="0"/>
          <w:w w:val="100"/>
          <w:position w:val="0"/>
          <w:sz w:val="18"/>
          <w:szCs w:val="18"/>
          <w:shd w:val="clear" w:color="auto" w:fill="auto"/>
          <w:lang w:val="en-US" w:eastAsia="en-US" w:bidi="en-US"/>
        </w:rPr>
        <w:t>é</w:t>
      </w:r>
      <w:r>
        <w:rPr>
          <w:color w:val="000000"/>
          <w:spacing w:val="0"/>
          <w:w w:val="100"/>
          <w:position w:val="0"/>
          <w:sz w:val="18"/>
          <w:szCs w:val="18"/>
          <w:shd w:val="clear" w:color="auto" w:fill="auto"/>
          <w:lang w:val="en-US" w:eastAsia="en-US" w:bidi="en-US"/>
        </w:rPr>
        <w:t xml:space="preserve">my, </w:t>
      </w:r>
      <w:r>
        <w:rPr>
          <w:i/>
          <w:iCs/>
          <w:color w:val="000000"/>
          <w:spacing w:val="0"/>
          <w:w w:val="100"/>
          <w:position w:val="0"/>
          <w:sz w:val="16"/>
          <w:szCs w:val="16"/>
          <w:shd w:val="clear" w:color="auto" w:fill="auto"/>
          <w:lang w:val="en-US" w:eastAsia="en-US" w:bidi="en-US"/>
        </w:rPr>
        <w:t>Vie de Toussaint Louverture,</w:t>
      </w:r>
      <w:r>
        <w:rPr>
          <w:color w:val="000000"/>
          <w:spacing w:val="0"/>
          <w:w w:val="100"/>
          <w:position w:val="0"/>
          <w:sz w:val="18"/>
          <w:szCs w:val="18"/>
          <w:shd w:val="clear" w:color="auto" w:fill="auto"/>
          <w:lang w:val="en-US" w:eastAsia="en-US" w:bidi="en-US"/>
        </w:rPr>
        <w:t xml:space="preserve"> 1850 ; Gragnon-Lacoste, </w:t>
      </w:r>
      <w:r>
        <w:rPr>
          <w:i/>
          <w:iCs/>
          <w:color w:val="000000"/>
          <w:spacing w:val="0"/>
          <w:w w:val="100"/>
          <w:position w:val="0"/>
          <w:sz w:val="16"/>
          <w:szCs w:val="16"/>
          <w:shd w:val="clear" w:color="auto" w:fill="auto"/>
          <w:lang w:val="en-US" w:eastAsia="en-US" w:bidi="en-US"/>
        </w:rPr>
        <w:t>Toussaint Louver</w:t>
        <w:softHyphen/>
        <w:t>ture, G</w:t>
      </w:r>
      <w:r>
        <w:rPr>
          <w:i/>
          <w:iCs/>
          <w:color w:val="000000"/>
          <w:spacing w:val="0"/>
          <w:w w:val="100"/>
          <w:position w:val="0"/>
          <w:sz w:val="16"/>
          <w:szCs w:val="16"/>
          <w:shd w:val="clear" w:color="auto" w:fill="auto"/>
          <w:lang w:val="en-US" w:eastAsia="en-US" w:bidi="en-US"/>
        </w:rPr>
        <w:t>é</w:t>
      </w:r>
      <w:r>
        <w:rPr>
          <w:i/>
          <w:iCs/>
          <w:color w:val="000000"/>
          <w:spacing w:val="0"/>
          <w:w w:val="100"/>
          <w:position w:val="0"/>
          <w:sz w:val="16"/>
          <w:szCs w:val="16"/>
          <w:shd w:val="clear" w:color="auto" w:fill="auto"/>
          <w:lang w:val="en-US" w:eastAsia="en-US" w:bidi="en-US"/>
        </w:rPr>
        <w:t>n</w:t>
      </w:r>
      <w:r>
        <w:rPr>
          <w:i/>
          <w:iCs/>
          <w:color w:val="000000"/>
          <w:spacing w:val="0"/>
          <w:w w:val="100"/>
          <w:position w:val="0"/>
          <w:sz w:val="16"/>
          <w:szCs w:val="16"/>
          <w:shd w:val="clear" w:color="auto" w:fill="auto"/>
          <w:lang w:val="en-US" w:eastAsia="en-US" w:bidi="en-US"/>
        </w:rPr>
        <w:t>é</w:t>
      </w:r>
      <w:r>
        <w:rPr>
          <w:i/>
          <w:iCs/>
          <w:color w:val="000000"/>
          <w:spacing w:val="0"/>
          <w:w w:val="100"/>
          <w:position w:val="0"/>
          <w:sz w:val="16"/>
          <w:szCs w:val="16"/>
          <w:shd w:val="clear" w:color="auto" w:fill="auto"/>
          <w:lang w:val="en-US" w:eastAsia="en-US" w:bidi="en-US"/>
        </w:rPr>
        <w:t>ral en Chef de l'Arm</w:t>
      </w:r>
      <w:r>
        <w:rPr>
          <w:i/>
          <w:iCs/>
          <w:color w:val="000000"/>
          <w:spacing w:val="0"/>
          <w:w w:val="100"/>
          <w:position w:val="0"/>
          <w:sz w:val="16"/>
          <w:szCs w:val="16"/>
          <w:shd w:val="clear" w:color="auto" w:fill="auto"/>
          <w:lang w:val="en-US" w:eastAsia="en-US" w:bidi="en-US"/>
        </w:rPr>
        <w:t>é</w:t>
      </w:r>
      <w:r>
        <w:rPr>
          <w:i/>
          <w:iCs/>
          <w:color w:val="000000"/>
          <w:spacing w:val="0"/>
          <w:w w:val="100"/>
          <w:position w:val="0"/>
          <w:sz w:val="16"/>
          <w:szCs w:val="16"/>
          <w:shd w:val="clear" w:color="auto" w:fill="auto"/>
          <w:lang w:val="en-US" w:eastAsia="en-US" w:bidi="en-US"/>
        </w:rPr>
        <w:t>e de Saint-Domingue surnomm</w:t>
      </w:r>
      <w:r>
        <w:rPr>
          <w:i/>
          <w:iCs/>
          <w:color w:val="000000"/>
          <w:spacing w:val="0"/>
          <w:w w:val="100"/>
          <w:position w:val="0"/>
          <w:sz w:val="16"/>
          <w:szCs w:val="16"/>
          <w:shd w:val="clear" w:color="auto" w:fill="auto"/>
          <w:lang w:val="en-US" w:eastAsia="en-US" w:bidi="en-US"/>
        </w:rPr>
        <w:t>é</w:t>
      </w:r>
      <w:r>
        <w:rPr>
          <w:i/>
          <w:iCs/>
          <w:color w:val="000000"/>
          <w:spacing w:val="0"/>
          <w:w w:val="100"/>
          <w:position w:val="0"/>
          <w:sz w:val="16"/>
          <w:szCs w:val="16"/>
          <w:shd w:val="clear" w:color="auto" w:fill="auto"/>
          <w:lang w:val="en-US" w:eastAsia="en-US" w:bidi="en-US"/>
        </w:rPr>
        <w:t xml:space="preserve"> le Premier des Noirs,</w:t>
      </w:r>
      <w:r>
        <w:rPr>
          <w:color w:val="000000"/>
          <w:spacing w:val="0"/>
          <w:w w:val="100"/>
          <w:position w:val="0"/>
          <w:sz w:val="18"/>
          <w:szCs w:val="18"/>
          <w:shd w:val="clear" w:color="auto" w:fill="auto"/>
          <w:lang w:val="en-US" w:eastAsia="en-US" w:bidi="en-US"/>
        </w:rPr>
        <w:t xml:space="preserve"> based on private papers of the Louverture family, 1877.</w:t>
      </w:r>
    </w:p>
    <w:p>
      <w:pPr>
        <w:pStyle w:val="Style6"/>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 xml:space="preserve">TOWN, TOWNSHIP. See </w:t>
      </w:r>
      <w:r>
        <w:rPr>
          <w:smallCaps/>
          <w:color w:val="000000"/>
          <w:spacing w:val="0"/>
          <w:w w:val="100"/>
          <w:position w:val="0"/>
          <w:shd w:val="clear" w:color="auto" w:fill="auto"/>
          <w:lang w:val="en-US" w:eastAsia="en-US" w:bidi="en-US"/>
        </w:rPr>
        <w:t>Borough, City, Muni</w:t>
        <w:softHyphen/>
        <w:t>cipality,</w:t>
      </w:r>
      <w:r>
        <w:rPr>
          <w:color w:val="000000"/>
          <w:spacing w:val="0"/>
          <w:w w:val="100"/>
          <w:position w:val="0"/>
          <w:shd w:val="clear" w:color="auto" w:fill="auto"/>
          <w:lang w:val="en-US" w:eastAsia="en-US" w:bidi="en-US"/>
        </w:rPr>
        <w:t xml:space="preserve"> and </w:t>
      </w:r>
      <w:r>
        <w:rPr>
          <w:smallCaps/>
          <w:color w:val="000000"/>
          <w:spacing w:val="0"/>
          <w:w w:val="100"/>
          <w:position w:val="0"/>
          <w:shd w:val="clear" w:color="auto" w:fill="auto"/>
          <w:lang w:val="en-US" w:eastAsia="en-US" w:bidi="en-US"/>
        </w:rPr>
        <w:t>United States,</w:t>
      </w:r>
      <w:r>
        <w:rPr>
          <w:color w:val="000000"/>
          <w:spacing w:val="0"/>
          <w:w w:val="100"/>
          <w:position w:val="0"/>
          <w:shd w:val="clear" w:color="auto" w:fill="auto"/>
          <w:lang w:val="en-US" w:eastAsia="en-US" w:bidi="en-US"/>
        </w:rPr>
        <w:t xml:space="preserve"> pp. 731, 827.</w:t>
      </w:r>
    </w:p>
    <w:p>
      <w:pPr>
        <w:pStyle w:val="Style6"/>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 xml:space="preserve">TOWNSHEND, </w:t>
      </w:r>
      <w:r>
        <w:rPr>
          <w:smallCaps/>
          <w:color w:val="000000"/>
          <w:spacing w:val="0"/>
          <w:w w:val="100"/>
          <w:position w:val="0"/>
          <w:shd w:val="clear" w:color="auto" w:fill="auto"/>
          <w:lang w:val="en-US" w:eastAsia="en-US" w:bidi="en-US"/>
        </w:rPr>
        <w:t>Charles Townshend, Second Vis</w:t>
        <w:softHyphen/>
        <w:t>count</w:t>
      </w:r>
      <w:r>
        <w:rPr>
          <w:color w:val="000000"/>
          <w:spacing w:val="0"/>
          <w:w w:val="100"/>
          <w:position w:val="0"/>
          <w:shd w:val="clear" w:color="auto" w:fill="auto"/>
          <w:lang w:val="en-US" w:eastAsia="en-US" w:bidi="en-US"/>
        </w:rPr>
        <w:t xml:space="preserve"> (1674-1738), a statesman of unsullied integrity, was the eldest son of Horatio, the first viscount, and was </w:t>
      </w:r>
      <w:r>
        <w:rPr>
          <w:color w:val="000000"/>
          <w:spacing w:val="0"/>
          <w:w w:val="100"/>
          <w:position w:val="0"/>
          <w:shd w:val="clear" w:color="auto" w:fill="auto"/>
          <w:lang w:val="en-US" w:eastAsia="en-US" w:bidi="en-US"/>
        </w:rPr>
        <w:t>born in 1674. He succeeded to the peerage in December 1687, and was educated at Eton and King’s College, Cam</w:t>
        <w:softHyphen/>
        <w:t>bridge. When he took his seat in the House of Lords his sympathies leant to Toryism, but this predilection soon faded away, and in February 1701-2 it was rumoured among the courtiers that he would hold the office of privy seal in the Whig ministry which William III. had in view. For some years after the accession of Queen Anne he remained without office, but on 29th September 1707 he was created captain of the yeomen of the guard, and in the same year he was summoned to the privy council, a distinction renewed by the queen’s two successors on the throne. The command of the yeomen remained in his hands until 13th June 1711, but its responsibilities did not prevent him from acting as joint plenipotentiary with the duke of Marlborough in the peace negotiations with France which were carried on at Gertruydenberg, near Breda, or from serving as ambassador extraordinary at The Hague congress (2d May 1709-26th March 1711). Town</w:t>
        <w:softHyphen/>
        <w:t>shend was high in favour with George I., and on that king’s arrival at The Hague in September 1714 he pub</w:t>
        <w:softHyphen/>
        <w:t>lished the appointment of Townshend as secretary of state for the southern department, and entrusted to his new minister the privilege of nominating his own colleague. Horace Walpole, his brother-in-law and private secretary, recommended Stanhope for the vacant post, and Stanhope was duly appointed. Townshend did not neglect to avail himself of the advantages afforded by his attendance on the king, and before the arrival of George I. in England he had obtained complete ascendency both over his mind and the dispositions of the advisers by whom his line of conduct was generally determined. The policy of the new ministers at home and abroad lay in the promotion of peace. With this object they endeavoured to limit the charges against their predecessor Harley, Lord Oxford, to high crimes and misdemeanours. To gain this end they brought about, in 1716, an alliance between those ancient rivals in arms, France and England. In spite of their success, their influence was gradually undermined by the intrigues of Lord Sunderland and by the discontent of the Hanoverian favourites, who deemed the places and the pensions which they had gained an insufficient reward for their exertions. In October 1716 Stanhope accompanied the king on his journey to Hanover, and during this visit was seduced from his allegiance to his colleagues by the wily Sunderland, who had ingratiated himself into the royal favour. George I. was induced to believe that Townshend and Walpole were caballing with the prince of Wales, and were forming designs against the royal authority. Town</w:t>
        <w:softHyphen/>
        <w:t>shend was dismissed in December 1716 from his place of secretary of state, and was offered in lieu thereof the splendid banishment of lord-lieutenant of Ireland, a gilded sinecure which he at first contemptuously declined and only condescended ultimately to accept on the condition that he was not required to set foot on Irish soil. His latent spirit of hostility to this arrangement quickly devel</w:t>
        <w:softHyphen/>
        <w:t>oped into open antagonism, and in March 1717 Townshend was dismissed from his position. At the close of May 1720 a partial reconciliation took place between the op</w:t>
        <w:softHyphen/>
        <w:t>posing Whig sections of Stanhope and Townshend. The latter was readmitted into the ministry as lord president of the council (11th June 1720), and his devoted relation and colleague Sir Robert Walpole became paymaster-general. When the South Sea Bubble burst, the fortunes of the principal members of the ministry shared in the misfortune of the scheme which they had promoted. Stanhope, in a paroxysm of passion during a heated debate, broke a blood</w:t>
        <w:softHyphen/>
        <w:t>vessel, and Sunderland, though acquitted of the charge of personal corruption, was forced to retire into private life. The withdrawal of these statesmen assigned to their rivals</w:t>
      </w:r>
    </w:p>
    <w:sectPr>
      <w:footnotePr>
        <w:pos w:val="pageBottom"/>
        <w:numFmt w:val="decimal"/>
        <w:numRestart w:val="continuous"/>
      </w:footnotePr>
      <w:pgSz w:w="12240" w:h="20160"/>
      <w:pgMar w:top="2764" w:left="1019" w:right="985" w:bottom="234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separator/>
      </w:r>
    </w:p>
  </w:footnote>
  <w:footnote w:id="1" w:type="continuationSeparator">
    <w:p>
      <w:r>
        <w:continuationSeparator/>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2)_"/>
    <w:basedOn w:val="DefaultParagraphFont"/>
    <w:link w:val="Style3"/>
    <w:rPr>
      <w:rFonts w:ascii="Times New Roman" w:eastAsia="Times New Roman" w:hAnsi="Times New Roman" w:cs="Times New Roman"/>
      <w:b w:val="0"/>
      <w:bCs w:val="0"/>
      <w:i w:val="0"/>
      <w:iCs w:val="0"/>
      <w:smallCaps w:val="0"/>
      <w:strike w:val="0"/>
      <w:sz w:val="18"/>
      <w:szCs w:val="18"/>
      <w:u w:val="none"/>
    </w:rPr>
  </w:style>
  <w:style w:type="character" w:customStyle="1" w:styleId="CharStyle7">
    <w:name w:val="Body text (11)_"/>
    <w:basedOn w:val="DefaultParagraphFont"/>
    <w:link w:val="Style6"/>
    <w:rPr>
      <w:rFonts w:ascii="Times New Roman" w:eastAsia="Times New Roman" w:hAnsi="Times New Roman" w:cs="Times New Roman"/>
      <w:b w:val="0"/>
      <w:bCs w:val="0"/>
      <w:i w:val="0"/>
      <w:iCs w:val="0"/>
      <w:smallCaps w:val="0"/>
      <w:strike w:val="0"/>
      <w:sz w:val="20"/>
      <w:szCs w:val="20"/>
      <w:u w:val="none"/>
    </w:rPr>
  </w:style>
  <w:style w:type="character" w:customStyle="1" w:styleId="CharStyle11">
    <w:name w:val="Body text_"/>
    <w:basedOn w:val="DefaultParagraphFont"/>
    <w:link w:val="Style10"/>
    <w:rPr>
      <w:rFonts w:ascii="Times New Roman" w:eastAsia="Times New Roman" w:hAnsi="Times New Roman" w:cs="Times New Roman"/>
      <w:b w:val="0"/>
      <w:bCs w:val="0"/>
      <w:i w:val="0"/>
      <w:iCs w:val="0"/>
      <w:smallCaps w:val="0"/>
      <w:strike w:val="0"/>
      <w:sz w:val="16"/>
      <w:szCs w:val="16"/>
      <w:u w:val="none"/>
    </w:rPr>
  </w:style>
  <w:style w:type="paragraph" w:customStyle="1" w:styleId="Style3">
    <w:name w:val="Body text (2)"/>
    <w:basedOn w:val="Normal"/>
    <w:link w:val="CharStyle4"/>
    <w:pPr>
      <w:widowControl w:val="0"/>
      <w:shd w:val="clear" w:color="auto" w:fill="FFFFFF"/>
      <w:spacing w:line="223" w:lineRule="auto"/>
      <w:ind w:firstLine="200"/>
    </w:pPr>
    <w:rPr>
      <w:rFonts w:ascii="Times New Roman" w:eastAsia="Times New Roman" w:hAnsi="Times New Roman" w:cs="Times New Roman"/>
      <w:b w:val="0"/>
      <w:bCs w:val="0"/>
      <w:i w:val="0"/>
      <w:iCs w:val="0"/>
      <w:smallCaps w:val="0"/>
      <w:strike w:val="0"/>
      <w:sz w:val="18"/>
      <w:szCs w:val="18"/>
      <w:u w:val="none"/>
    </w:rPr>
  </w:style>
  <w:style w:type="paragraph" w:customStyle="1" w:styleId="Style6">
    <w:name w:val="Body text (11)"/>
    <w:basedOn w:val="Normal"/>
    <w:link w:val="CharStyle7"/>
    <w:pPr>
      <w:widowControl w:val="0"/>
      <w:shd w:val="clear" w:color="auto" w:fill="FFFFFF"/>
      <w:spacing w:line="218" w:lineRule="auto"/>
    </w:pPr>
    <w:rPr>
      <w:rFonts w:ascii="Times New Roman" w:eastAsia="Times New Roman" w:hAnsi="Times New Roman" w:cs="Times New Roman"/>
      <w:b w:val="0"/>
      <w:bCs w:val="0"/>
      <w:i w:val="0"/>
      <w:iCs w:val="0"/>
      <w:smallCaps w:val="0"/>
      <w:strike w:val="0"/>
      <w:sz w:val="20"/>
      <w:szCs w:val="20"/>
      <w:u w:val="none"/>
    </w:rPr>
  </w:style>
  <w:style w:type="paragraph" w:styleId="Style10">
    <w:name w:val="Body text"/>
    <w:basedOn w:val="Normal"/>
    <w:link w:val="CharStyle11"/>
    <w:pPr>
      <w:widowControl w:val="0"/>
      <w:shd w:val="clear" w:color="auto" w:fill="FFFFFF"/>
      <w:ind w:firstLine="180"/>
    </w:pPr>
    <w:rPr>
      <w:rFonts w:ascii="Times New Roman" w:eastAsia="Times New Roman" w:hAnsi="Times New Roman" w:cs="Times New Roman"/>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