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chief prizes in the state: Townshend became (10th February 1721) secretary of state, and Walpole gained the position of first lord of the treasury and chancellor of the exchequer. The death of George I. threatened a change of advisers, but the dismay of the new king’s favourite, Spencer Compton, at being called upon to draw up the royal speech, led to the old ministers of the crown being retained in their places. What the attacks of the opposi</w:t>
        <w:softHyphen/>
        <w:t>tion could not effect, the internal strife of the administra</w:t>
        <w:softHyphen/>
        <w:t>tion accomplished. Townshend was of a proud, impetuous disposition, born with a nature more accustomed to rule than to obey. His family had for several generations stood higher in the social life of Norfolk than Walpole’s progenitors, and when he himself attained to distinction in politics his position as a member of the Upper House was greater than that enjoyed by his friend in the Commons. As the power of the Lower House increased, and as Walpole became more and more the object of the attacks of the Tories, the pre-eminence of Townshend passed from him. So long, to use the witty remark of Sir Robert Walpole, as the firm was Townshend and Walpole, things went well with them, but when the positions were re</w:t>
        <w:softHyphen/>
        <w:t>versed jealousies arose between the partners. The grow</w:t>
        <w:softHyphen/>
        <w:t>ing alienation was hastened by the death, in 1726, of the secretary’s wife, the sister of Walpole. At the close of 1729 Townshend endeavoured to obtain the appoint</w:t>
        <w:softHyphen/>
        <w:t>ment of his old and attached friend, Lord Chesterfield, as his fellow secretary of state, and the failure of the attempt brought about a fierce scene between Walpole and himself. They broke out into passionate words, seized one another by their coat-collars, and would have come to blows had they not been prevented by their friends who were pre</w:t>
        <w:softHyphen/>
        <w:t>sent. After this outbreak of passion further co-operation was impossible, and Townshend, having the good sense to recognize the position, retired into private life on 15th May 1730. The chief domestic events of his ministry were the impeachment of Bishop Atterbury, the partial restoration of Lord Bolingbroke, and the troubles in Ireland over the granting to a man called Wood of a patent for coining pence. Its concluding act was the signing of the treaty of Seville (9th November 1729). Townshend died of apoplexy 21st June 1738.</w:t>
      </w:r>
    </w:p>
    <w:p>
      <w:pPr>
        <w:pStyle w:val="Style6"/>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Townshend was slow in forming, but resolute in adhering to, his opinion, and, like most other men of that stamp, was impatient of contradiction. His manners have been styled “coarse, rustic, and seemingly brutal,” but these defects were not visible in his domestic life. Never did minister leave office with cleaner hands; he did not add one acre to his estate nor leave large fortunes to his younger children.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TOWNSHEND, </w:t>
      </w:r>
      <w:r>
        <w:rPr>
          <w:smallCaps/>
          <w:color w:val="000000"/>
          <w:spacing w:val="0"/>
          <w:w w:val="100"/>
          <w:position w:val="0"/>
          <w:shd w:val="clear" w:color="auto" w:fill="auto"/>
          <w:lang w:val="en-US" w:eastAsia="en-US" w:bidi="en-US"/>
        </w:rPr>
        <w:t>Charles</w:t>
      </w:r>
      <w:r>
        <w:rPr>
          <w:color w:val="000000"/>
          <w:spacing w:val="0"/>
          <w:w w:val="100"/>
          <w:position w:val="0"/>
          <w:shd w:val="clear" w:color="auto" w:fill="auto"/>
          <w:lang w:val="en-US" w:eastAsia="en-US" w:bidi="en-US"/>
        </w:rPr>
        <w:t xml:space="preserve"> (1725-1767), a politician ever to be remembered as the embodiment of wit and in</w:t>
        <w:softHyphen/>
        <w:t>discretion, was the second son of Charles, third Viscount Townshend, who married Audrey, the daughter and heiress of Edward Harrison of Ball’s Park, near Hertford, a lady who rivalled her son in brilliancy of wit and frankness of expression. Charles was born 29th August 1725, and was sent for his education to Leyden and Oxford. At the Dutch university, where he matriculated 27th October 1745, he associated with a small knot of English youths, afterwards well known in various circles of life, among whom were Askew, the book-collector, Dowdeswell, his subsequent rival in politics, Wilkes, the witty and un</w:t>
        <w:softHyphen/>
        <w:t xml:space="preserve">principled reformer, and Alexander Carlyle, the genial Scotchman, who devotes some of the pages of his </w:t>
      </w:r>
      <w:r>
        <w:rPr>
          <w:i/>
          <w:iCs/>
          <w:color w:val="000000"/>
          <w:spacing w:val="0"/>
          <w:w w:val="100"/>
          <w:position w:val="0"/>
          <w:shd w:val="clear" w:color="auto" w:fill="auto"/>
          <w:lang w:val="en-US" w:eastAsia="en-US" w:bidi="en-US"/>
        </w:rPr>
        <w:t>Autobio</w:t>
        <w:softHyphen/>
        <w:t>graphy</w:t>
      </w:r>
      <w:r>
        <w:rPr>
          <w:color w:val="000000"/>
          <w:spacing w:val="0"/>
          <w:w w:val="100"/>
          <w:position w:val="0"/>
          <w:shd w:val="clear" w:color="auto" w:fill="auto"/>
          <w:lang w:val="en-US" w:eastAsia="en-US" w:bidi="en-US"/>
        </w:rPr>
        <w:t xml:space="preserve"> to chronicling their sayings and their doings. He represented Great Yarmouth in parliament from 1747 to 1761, when he found a seat in the treasury borough of Harwich. Public attention was first drawn to his abilities in 1753, when he delivered a lively attack, as a younger son who might hope to promote his advancement by allying himself in marriage to a wealthy heiress, against Lord </w:t>
      </w:r>
      <w:r>
        <w:rPr>
          <w:color w:val="000000"/>
          <w:spacing w:val="0"/>
          <w:w w:val="100"/>
          <w:position w:val="0"/>
          <w:shd w:val="clear" w:color="auto" w:fill="auto"/>
          <w:lang w:val="en-US" w:eastAsia="en-US" w:bidi="en-US"/>
        </w:rPr>
        <w:t>Hardwicke’s marriage bill. Although this measure passed into law, he attained this object in August of the follow</w:t>
        <w:softHyphen/>
        <w:t>ing year by marrying Caroline, the eldest daughter of the second duke of Argyle and the widow of Francis, Lord Dalkeith, the eldest son of the second duke of Buccleugh. In April 1754 Townshend was transferred from the posi</w:t>
        <w:softHyphen/>
        <w:t>tion of a member of the Board of Trade, which he had held from 1749, to that of a lord of the admiralty, but at the close of 1755 his passionate attack against the policy of the ministry, an attack which shared in popular estimation with the scathing denunciations of Pitt, the supreme success of Single-Speech Hamilton, and the hope</w:t>
        <w:softHyphen/>
        <w:t>less failure of Lord Chesterfield’s illegitimate son, caused his instant dismissal. In the administration which was formed in December 1756, and which was ruled by Pitt, the lucrative office of treasurer of the chamber was given to Townshend, and in the following spring he was sum</w:t>
        <w:softHyphen/>
        <w:t>moned to the privy council. With the accession of the new monarch in 1760 this volatile politician transferred his attentions from Pitt to the young king’s favourite, Bute, and when, at the latter’s instance, several changes were made in the ministry, Townshend was promoted to the post of secretary of war. In this place he remained after the great commoner had withdrawn from the cabinet, but in December 1762 he threw it up. Bute, alarmed at the growth in numbers and in influence of his enemies, tried to buy back Townshend’s co-operation by sundry tempting promises, and at last secured his object in March 1763 with the presidency of the Board of Trade. When Bute retired and George Grenville accepted the cares of official life, the higher post of first lord of the admiralty fell to Townshend’s lot, but with his usual impetuosity he pre</w:t>
        <w:softHyphen/>
        <w:t>sumed to designate one of his satellites to a place under him at the board, and the refusal to accept the nomination led to his exclusion from the new administration. While in opposition his mind was swayed to and fro with con</w:t>
        <w:softHyphen/>
        <w:t>flicting emotions of dislike to the head of the ministry and of desire to share in the spoils of office. The latter feeling ultimately triumphed ; he condescended to accept in the dying days of Grenville’s cabinet, and to retain through the “ lutestring ” administration of Lord Rockingham,— “ pretty summer wear,” as Townshend styled it, “ but it will never stand the winter,”—the highly-paid position of paymaster-general, refusing to identify himself more closely with its fortunes as chancellor of the exchequer. The position which he refused from the hands of Lord Rocking</w:t>
        <w:softHyphen/>
        <w:t>ham he was forced to accept from the imperious Pitt (August 1766), and a few weeks later his urgent appeals to the great minister for increased power were favourably answered, and he was admitted to the inner circle of the cabinet. Dowdeswell, his predecessor at the exchequer, resented his removal for his brilliant rival. The new chancellor proposed the continuance of the land tax at four shillings in the pound, while he held out hopes that it might be reduced next year to three shillings, where</w:t>
        <w:softHyphen/>
        <w:t>upon his predecessor, by the aid of the landed gentlemen, carried a motion that the reduction should take effect at once. This defeat proved a great mortification to Lord Chatham, and in his irritation against Townshend for this blow, as well as for some acts of insubordination, he meditated the removal of his showy colleague. Before this could be accomplished Chatham’s mind became im</w:t>
        <w:softHyphen/>
        <w:t>paired by some mysterious malady, and Townshend, who was the most determined and influential of his colleagues, swayed the ministry as he liked. His wife was created (August 1767) Baroness Greenwich, and his brother was made lord-lieutenant of Ireland. He himself delivered in the House of Commons many speeches unrivalled in parliamentary history for wit and recklessness; and one of them still lives in history as the “ champagne speech.”’</w:t>
      </w:r>
    </w:p>
    <w:sectPr>
      <w:footnotePr>
        <w:pos w:val="pageBottom"/>
        <w:numFmt w:val="decimal"/>
        <w:numRestart w:val="continuous"/>
      </w:footnotePr>
      <w:pgSz w:w="12240" w:h="20160"/>
      <w:pgMar w:top="2764" w:left="1019" w:right="985" w:bottom="23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Body text (2)"/>
    <w:basedOn w:val="Normal"/>
    <w:link w:val="CharStyle7"/>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