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33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sphere passing through the middle points of the sides of the triangle are edges is sin - 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Let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ABCD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 a spherical quadrilateral inscribed in a small circle ; let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a, b, c, 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denote the sides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AB, BC, CD, DA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respectively, and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χ,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diagonals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AC, BD.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It can easily be shown by joining the angular points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quadrilateral to the pole of the circle that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C=B+D. If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use the last expression in (23) for the radii of the circles circumscribing the triangles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BAD, BCD,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have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38" w:val="center"/>
          <w:tab w:pos="1113" w:val="right"/>
          <w:tab w:pos="1578" w:val="left"/>
        </w:tabs>
        <w:bidi w:val="0"/>
        <w:spacing w:line="122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„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 C 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91" w:val="right"/>
          <w:tab w:pos="2357" w:val="left"/>
          <w:tab w:pos="3364" w:val="right"/>
          <w:tab w:pos="3744" w:val="left"/>
          <w:tab w:pos="4301" w:val="left"/>
        </w:tabs>
        <w:bidi w:val="0"/>
        <w:spacing w:line="93" w:lineRule="exact"/>
        <w:ind w:left="360" w:hanging="36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X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cosec 3=sin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3 cos θ cosec 3 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  <w:tab/>
        <w:t>J</w:t>
        <w:tab/>
        <w:t>J</w:t>
        <w:tab/>
        <w:t>&lt;ii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Λ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80" w:val="left"/>
          <w:tab w:pos="2832" w:val="left"/>
        </w:tabs>
        <w:bidi w:val="0"/>
        <w:spacing w:line="12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  <w:tab/>
        <w:t xml:space="preserve">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78" w:val="left"/>
          <w:tab w:leader="hyphen" w:pos="1880" w:val="left"/>
          <w:tab w:leader="hyphen" w:pos="2357" w:val="left"/>
          <w:tab w:leader="hyphen" w:pos="3246" w:val="left"/>
        </w:tabs>
        <w:bidi w:val="0"/>
        <w:spacing w:line="12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whence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— -</w:t>
        <w:tab/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357" w:val="left"/>
          <w:tab w:pos="2832" w:val="left"/>
          <w:tab w:pos="3364" w:val="right"/>
        </w:tabs>
        <w:bidi w:val="0"/>
        <w:spacing w:line="149" w:lineRule="auto"/>
        <w:ind w:left="0" w:firstLine="360"/>
        <w:jc w:val="left"/>
        <w:rPr>
          <w:sz w:val="12"/>
          <w:szCs w:val="12"/>
        </w:rPr>
      </w:pPr>
      <w:r>
        <w:rPr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be ad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 </w:t>
      </w:r>
      <w:r>
        <w:rPr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</w:t>
        <w:tab/>
        <w:t>J</w:t>
        <w:tab/>
        <w:t>J</w:t>
        <w:tab/>
        <w:t>Ji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This is the proposition corresponding to the relation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C=tτ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a plane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quadrilateral.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Also we obtain in a similar manner the theorem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8i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„?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lh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34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 τ&gt;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·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- sin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analogous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theorem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plane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quadrilateral,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diagonals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are proportional to the sines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angles opposite to them.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Also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chords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AB, BC, CD, DA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equal to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sin 3, 2 sin θ, 2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3, 2 sin 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Z Z Z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respectively, and the plane quadrilateral formed by these chords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inscribed in the same circle as the spherical quadrilateral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hence by Ptolemy’s theorem for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plane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quadrilateral we obtain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analogous theorem for a spherical one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I sin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=sin " sin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+sin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has been shown by Remy (in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Crelle's joum.,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iii.)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for any quadrilateral, if z be the spherical distance between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middle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points of the diagonals,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cos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=4 cos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⅛x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⅛y cos ⅛z.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This theorem is analogous to the theorem for any plane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quadri</w:t>
        <w:softHyphen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lateral, that the sum of the squares of the sides is equal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the sum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of the squares of the diagonals, together λvith twice the square on the straight line joining the middle points of the diagonals.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theorem for a right-angled spherical triangle, analogous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Pythagorean theorem, has been given by Gudermann (in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Crelle's journ.,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xlii,).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Analytical Trigonometry.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Analytical trigonometry is that branch of mathematical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analysis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which the analytical properties of the trigonometrical functions are investigated. These functions derive their importance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ana</w:t>
        <w:softHyphen/>
        <w:t xml:space="preserve">lysis from the fact that they are the simplest singly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periodic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functions, and are therefore adapted to the representation of undu</w:t>
        <w:softHyphen/>
        <w:t xml:space="preserve">lating magnitude. The sine, cosine, secant, and cosecant have the single real period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2τr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;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i.e.,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each is unaltered in value by the addi</w:t>
        <w:softHyphen/>
        <w:t xml:space="preserve">tion of 2π to the variable. The tangent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cotangent have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period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τr.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sine, tangent, cosecant, and cotangent belong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class of odd functions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is, they change sign when the sign of the variable is changed. The cosine and secant are even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func</w:t>
        <w:softHyphen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tions, since they remain unaltered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the sign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variable is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reversed.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theory of the trigonometrical functions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intimately con</w:t>
        <w:softHyphen/>
        <w:t xml:space="preserve">nected with that of 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com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plex quantities,—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is, of quantities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form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 + vy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(ι =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∕-l). Suppose we multiply together,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rules of ordinary algebra,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two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such quantities, we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⅛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Z∕ι)(¾ + *y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= 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¾ - 3∕ι2∕a) + *(¾y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¾V1)∙.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32" w:val="left"/>
          <w:tab w:pos="4090" w:val="left"/>
          <w:tab w:pos="4507" w:val="left"/>
        </w:tabs>
        <w:bidi w:val="0"/>
        <w:spacing w:line="2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observe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the real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part and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real factor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the imaginary part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expression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right-hand side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this equation are similar 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form to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expressions which occur in the addition formulae for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cosine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sine of the sum of two angles ; in fact, if we put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a¾=r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a‰=r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w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the above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equation becomes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×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)=r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(cos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θ^+θ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may now, in accordance with the usual mode of representing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complex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quantities, give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geometrical interpretation of the meaning of this equation. Let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 the point whose coordinates referred to rectangular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axes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Ox, Oy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y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then the point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employed to represent the quantity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+ ιy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this mode of representation real quantities are measured along the axis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imaginary ones along the axis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additions being performed according to the parallelogram law. The points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A,A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represent the magnitudes ±1, the points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a,a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magnitudes ±t. Let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represent the expression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⅛ + *⅜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&lt;1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expression (a¾ + √∕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)(a⅞ +*2∕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)∙ The quantities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'oθ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,r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,θ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are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polar coordinates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respectively referred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as origin and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as initial line ; the above equation shows that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+ θ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the polar coordinates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 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hence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OA : OP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:: OP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: OP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 angle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POP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equal to the angle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OA.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Thus we have the following geometrical construc</w:t>
        <w:softHyphen/>
        <w:t xml:space="preserve">tion for the determination of the point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draw a triangle similar to the triangle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OAP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so that the sides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OP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homologous to the sides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OA, OP,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so that the angle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POP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positive ; then the vertex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represents the product of the expressions represented by 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∙ If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+ ιy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were to be divided by a¾ + ty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the triangle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OPP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would be drawn on the negative side of similar to the triangle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OAP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having the sides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OP, OP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homologous to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OA, OP,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would represent the quotient.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we extend the above to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complex quantities by continual repeti</w:t>
        <w:softHyphen/>
        <w:t>tion of a similar operation, we have—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(cos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la-001" w:eastAsia="la-001" w:bidi="la-001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(cos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+t sin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+1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 cos(0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+... + 0,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+ tsin(0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+ 0∏)∙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44" w:val="right"/>
          <w:tab w:pos="3946" w:val="right"/>
          <w:tab w:pos="4536" w:val="center"/>
        </w:tabs>
        <w:bidi w:val="0"/>
        <w:spacing w:line="20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If 0j =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= ...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this equation becomes (cos 0 + ιsin 0)" =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nθ 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this shows that cos 0 +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sinØ is a value of (cosnØ + 1</w:t>
        <w:tab/>
        <w:t>$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  <w:tab/>
        <w:t>θ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59" w:val="left"/>
          <w:tab w:pos="3662" w:val="left"/>
          <w:tab w:pos="4277" w:val="left"/>
          <w:tab w:pos="4569" w:val="center"/>
          <w:tab w:pos="4912" w:val="righ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tsinnØ)«. If now we change 0 into -,</w:t>
        <w:tab/>
        <w:t>we see that</w:t>
        <w:tab/>
        <w:t>cos- + t</w:t>
        <w:tab/>
        <w:t>sin</w:t>
        <w:tab/>
        <w:t>-</w:t>
        <w:tab/>
        <w:t>is 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92" w:val="right"/>
          <w:tab w:pos="2195" w:val="right"/>
          <w:tab w:pos="2787" w:val="center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</w:t>
        <w:tab/>
        <w:t>η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382" w:val="left"/>
          <w:tab w:pos="3160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value of (cosØ + tsinØ)« ; raising each of these quantities to any positive integral power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cos^-f-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ts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in- is one value of (cos 0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 ιsin0)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Also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36" w:val="left"/>
          <w:tab w:pos="2382" w:val="left"/>
        </w:tabs>
        <w:bidi w:val="0"/>
        <w:spacing w:line="191" w:lineRule="exact"/>
        <w:ind w:left="0" w:firstLine="0"/>
        <w:jc w:val="left"/>
        <w:rPr>
          <w:sz w:val="17"/>
          <w:szCs w:val="17"/>
        </w:rPr>
      </w:pP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∕ m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  <w:tab/>
        <w:t>. ∕ mA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627" w:val="left"/>
          <w:tab w:leader="hyphen" w:pos="3160" w:val="left"/>
        </w:tabs>
        <w:bidi w:val="0"/>
        <w:spacing w:line="12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cost</w:t>
        <w:tab/>
        <w:t>J0 + tsιn( —0 1 =</w:t>
        <w:tab/>
        <w:t xml:space="preserve"> ·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61" w:val="left"/>
        </w:tabs>
        <w:bidi w:val="0"/>
        <w:spacing w:line="101" w:lineRule="exact"/>
        <w:ind w:left="0" w:firstLine="0"/>
        <w:jc w:val="left"/>
      </w:pP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nj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 ∕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,∙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830" w:val="left"/>
        </w:tabs>
        <w:bidi w:val="0"/>
        <w:spacing w:line="127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cos—0 + tsnι — 0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hence the expression of the left-hand side is one value of 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101" w:val="left"/>
          <w:tab w:pos="2729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z~</w:t>
        <w:tab/>
        <w:t>—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(cosø + t sin 0)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''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orof (cos 0+ tsin0)^n. We have thus De Moivre’s theorem that cos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+ι sin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always one value of (cos 0 +1 sin 0)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where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any real quantity.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9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principal object of De Moivre’s theorem is to enable us 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vι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830" w:val="left"/>
        </w:tabs>
        <w:bidi w:val="0"/>
        <w:spacing w:line="175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find all the values of an expression of the form (α + d&gt;)", where rn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positive integers prime to each other. If α=rcos0, 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fn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85" w:val="left"/>
          <w:tab w:pos="2382" w:val="left"/>
        </w:tabs>
        <w:bidi w:val="0"/>
        <w:spacing w:line="216" w:lineRule="auto"/>
        <w:ind w:left="0" w:firstLine="0"/>
        <w:jc w:val="left"/>
        <w:rPr>
          <w:sz w:val="17"/>
          <w:szCs w:val="17"/>
        </w:rPr>
      </w:pP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 =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0, we require the values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(cos 0 +1 sin 0)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One value is immediately furnished by the theorem ; but we observe that, since the expression cosØ + tsinØ is unaltered by adding any multiple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,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.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n,,</w:t>
        <w:tab/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ab/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w.0 + 2s7γ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. ∞.0 + 2s7rλ. 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160" w:val="left"/>
          <w:tab w:leader="hyphen" w:pos="4188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2∙π∙ to 0, the -th power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 cos</w:t>
        <w:tab/>
        <w:t>H sin</w:t>
        <w:tab/>
        <w:t xml:space="preserve"> hs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+ w,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61" w:val="left"/>
          <w:tab w:pos="2729" w:val="left"/>
          <w:tab w:pos="3830" w:val="left"/>
        </w:tabs>
        <w:bidi w:val="0"/>
        <w:spacing w:line="167" w:lineRule="exact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∕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if s is any integer ; hence this expression is one of the values re</w:t>
        <w:softHyphen/>
        <w:t>quired. Suppose that for two values 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values of this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35" w:val="left"/>
          <w:tab w:pos="2729" w:val="left"/>
        </w:tabs>
        <w:bidi w:val="0"/>
        <w:spacing w:line="240" w:lineRule="auto"/>
        <w:ind w:lef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,,</w:t>
        <w:tab/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., rn.0 + 2s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7r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w.0 + 2s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tγj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3830" w:val="left"/>
          <w:tab w:leader="hyphen" w:pos="4742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expression are the same ; then we must have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—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36" w:val="left"/>
        </w:tabs>
        <w:bidi w:val="0"/>
        <w:spacing w:line="18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  <w:tab/>
        <w:t>11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multiple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or 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must be a multiple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Therefore, if we give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values 0,1, 2, . .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successively, we shall get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differ-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54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ent values of (α +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ιb)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these will be repeated if we give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other ♦n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6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values; hence all the values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(a+ιb)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obtained by giving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values 0, 1, 2, . . .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n-1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the expression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r"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w,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3" w:val="left"/>
          <w:tab w:pos="2061" w:val="left"/>
          <w:tab w:pos="2888" w:val="left"/>
          <w:tab w:pos="3569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tab/>
        <w:t>. rn.θ + 2sπ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  <w:tab/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„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.</w:t>
        <w:tab/>
        <w:t>, b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+ 4 sin — L where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0=arc tan - 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742" w:val="left"/>
        </w:tabs>
        <w:bidi w:val="0"/>
        <w:spacing w:line="214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now return to the geometrical representation of the complex quantities. If the points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,... 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repre</w:t>
        <w:softHyphen/>
        <w:t xml:space="preserve">sent the expression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 + ιy,{x + ιy')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(x +ιy)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,... (x+ιy}n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respectively, the triangles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OAB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OB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,... OB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~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are all similar. Let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(x+ιy)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=a + ιb,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then the con verse problem of finding the nth root of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 + ιb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equivalent to the geometrical problem of describ</w:t>
        <w:softHyphen/>
        <w:t xml:space="preserve">ing such a series of triangles that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the first side of the first triangle and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second side of the nth. Nowit is obvious that this geometrical problem has more solutions than one, since any number of com</w:t>
        <w:softHyphen/>
        <w:t xml:space="preserve">plete revolutions round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may be made in travelling from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first solution is that in which the vertical angle of each triangle is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—B OA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; the second is that in which each is</w:t>
        <w:tab/>
        <w:t>in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569" w:val="left"/>
        </w:tabs>
        <w:bidi w:val="0"/>
        <w:spacing w:line="18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this case one complete revolution being made round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 ;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third</w:t>
      </w:r>
    </w:p>
    <w:sectPr>
      <w:footnotePr>
        <w:pos w:val="pageBottom"/>
        <w:numFmt w:val="decimal"/>
        <w:numRestart w:val="continuous"/>
      </w:footnotePr>
      <w:pgSz w:w="12240" w:h="20160"/>
      <w:pgMar w:top="2784" w:left="1058" w:right="974" w:bottom="238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styleId="Style3">
    <w:name w:val="Body text"/>
    <w:basedOn w:val="Normal"/>
    <w:link w:val="CharStyle4"/>
    <w:pPr>
      <w:widowControl w:val="0"/>
      <w:shd w:val="clear" w:color="auto" w:fill="FFFFFF"/>
      <w:ind w:firstLine="1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