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that the </w:t>
      </w:r>
      <w:r>
        <w:rPr>
          <w:color w:val="000000"/>
          <w:spacing w:val="0"/>
          <w:w w:val="100"/>
          <w:position w:val="0"/>
          <w:shd w:val="clear" w:color="auto" w:fill="auto"/>
          <w:lang w:val="la-001" w:eastAsia="la-001" w:bidi="la-001"/>
        </w:rPr>
        <w:t xml:space="preserve">Scamander </w:t>
      </w:r>
      <w:r>
        <w:rPr>
          <w:color w:val="000000"/>
          <w:spacing w:val="0"/>
          <w:w w:val="100"/>
          <w:position w:val="0"/>
          <w:shd w:val="clear" w:color="auto" w:fill="auto"/>
          <w:lang w:val="en-US" w:eastAsia="en-US" w:bidi="en-US"/>
        </w:rPr>
        <w:t xml:space="preserve">in question was the </w:t>
      </w:r>
      <w:r>
        <w:rPr>
          <w:color w:val="000000"/>
          <w:spacing w:val="0"/>
          <w:w w:val="100"/>
          <w:position w:val="0"/>
          <w:shd w:val="clear" w:color="auto" w:fill="auto"/>
          <w:lang w:val="la-001" w:eastAsia="la-001" w:bidi="la-001"/>
        </w:rPr>
        <w:t xml:space="preserve">Scamander </w:t>
      </w:r>
      <w:r>
        <w:rPr>
          <w:color w:val="000000"/>
          <w:spacing w:val="0"/>
          <w:w w:val="100"/>
          <w:position w:val="0"/>
          <w:shd w:val="clear" w:color="auto" w:fill="auto"/>
          <w:lang w:val="en-US" w:eastAsia="en-US" w:bidi="en-US"/>
        </w:rPr>
        <w:t xml:space="preserve">in Crete, and that </w:t>
      </w:r>
      <w:r>
        <w:rPr>
          <w:color w:val="000000"/>
          <w:spacing w:val="0"/>
          <w:w w:val="100"/>
          <w:position w:val="0"/>
          <w:shd w:val="clear" w:color="auto" w:fill="auto"/>
          <w:lang w:val="la-001" w:eastAsia="la-001" w:bidi="la-001"/>
        </w:rPr>
        <w:t xml:space="preserve">Teucer </w:t>
      </w:r>
      <w:r>
        <w:rPr>
          <w:color w:val="000000"/>
          <w:spacing w:val="0"/>
          <w:w w:val="100"/>
          <w:position w:val="0"/>
          <w:shd w:val="clear" w:color="auto" w:fill="auto"/>
          <w:lang w:val="en-US" w:eastAsia="en-US" w:bidi="en-US"/>
        </w:rPr>
        <w:t xml:space="preserve">was told by an oracle to settle wherever the “ earth-born ones ” attacked him. So when he and his company were attacked in the Troad by mice, which gnawed their bow-strings and the handles of their shields, he settled on the spot, thinking that the oracle was fulfilled. He called the town Sminthium and built a temple to Apollo Sminthius, the Cretan word for a mouse being </w:t>
      </w:r>
      <w:r>
        <w:rPr>
          <w:i/>
          <w:iCs/>
          <w:color w:val="000000"/>
          <w:spacing w:val="0"/>
          <w:w w:val="100"/>
          <w:position w:val="0"/>
          <w:shd w:val="clear" w:color="auto" w:fill="auto"/>
          <w:lang w:val="en-US" w:eastAsia="en-US" w:bidi="en-US"/>
        </w:rPr>
        <w:t>sminthius.</w:t>
      </w:r>
      <w:r>
        <w:rPr>
          <w:color w:val="000000"/>
          <w:spacing w:val="0"/>
          <w:w w:val="100"/>
          <w:position w:val="0"/>
          <w:shd w:val="clear" w:color="auto" w:fill="auto"/>
          <w:lang w:val="en-US" w:eastAsia="en-US" w:bidi="en-US"/>
        </w:rPr>
        <w:t xml:space="preserve"> In his reign </w:t>
      </w:r>
      <w:r>
        <w:rPr>
          <w:color w:val="000000"/>
          <w:spacing w:val="0"/>
          <w:w w:val="100"/>
          <w:position w:val="0"/>
          <w:shd w:val="clear" w:color="auto" w:fill="auto"/>
          <w:lang w:val="la-001" w:eastAsia="la-001" w:bidi="la-001"/>
        </w:rPr>
        <w:t xml:space="preserve">Dardanus, </w:t>
      </w:r>
      <w:r>
        <w:rPr>
          <w:color w:val="000000"/>
          <w:spacing w:val="0"/>
          <w:w w:val="100"/>
          <w:position w:val="0"/>
          <w:shd w:val="clear" w:color="auto" w:fill="auto"/>
          <w:lang w:val="en-US" w:eastAsia="en-US" w:bidi="en-US"/>
        </w:rPr>
        <w:t>son of Zeus and the nymph Electra, daughter of Atlas, in con</w:t>
        <w:softHyphen/>
        <w:t xml:space="preserve">sequence of a deluge, drifted from the island of </w:t>
      </w:r>
      <w:r>
        <w:rPr>
          <w:color w:val="000000"/>
          <w:spacing w:val="0"/>
          <w:w w:val="100"/>
          <w:position w:val="0"/>
          <w:shd w:val="clear" w:color="auto" w:fill="auto"/>
          <w:lang w:val="la-001" w:eastAsia="la-001" w:bidi="la-001"/>
        </w:rPr>
        <w:t>Samo</w:t>
        <w:softHyphen/>
        <w:t xml:space="preserve">thrace </w:t>
      </w:r>
      <w:r>
        <w:rPr>
          <w:color w:val="000000"/>
          <w:spacing w:val="0"/>
          <w:w w:val="100"/>
          <w:position w:val="0"/>
          <w:shd w:val="clear" w:color="auto" w:fill="auto"/>
          <w:lang w:val="en-US" w:eastAsia="en-US" w:bidi="en-US"/>
        </w:rPr>
        <w:t xml:space="preserve">on a raft or a skin bag to the coast of the Troad, where, having received a portion of land from </w:t>
      </w:r>
      <w:r>
        <w:rPr>
          <w:color w:val="000000"/>
          <w:spacing w:val="0"/>
          <w:w w:val="100"/>
          <w:position w:val="0"/>
          <w:shd w:val="clear" w:color="auto" w:fill="auto"/>
          <w:lang w:val="la-001" w:eastAsia="la-001" w:bidi="la-001"/>
        </w:rPr>
        <w:t xml:space="preserve">Teucer </w:t>
      </w:r>
      <w:r>
        <w:rPr>
          <w:color w:val="000000"/>
          <w:spacing w:val="0"/>
          <w:w w:val="100"/>
          <w:position w:val="0"/>
          <w:shd w:val="clear" w:color="auto" w:fill="auto"/>
          <w:lang w:val="en-US" w:eastAsia="en-US" w:bidi="en-US"/>
        </w:rPr>
        <w:t xml:space="preserve">and married his daughter Batea, he founded the city of </w:t>
      </w:r>
      <w:r>
        <w:rPr>
          <w:color w:val="000000"/>
          <w:spacing w:val="0"/>
          <w:w w:val="100"/>
          <w:position w:val="0"/>
          <w:shd w:val="clear" w:color="auto" w:fill="auto"/>
          <w:lang w:val="la-001" w:eastAsia="la-001" w:bidi="la-001"/>
        </w:rPr>
        <w:t xml:space="preserve">Dardania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la-001" w:eastAsia="la-001" w:bidi="la-001"/>
        </w:rPr>
        <w:t xml:space="preserve">Dardanus </w:t>
      </w:r>
      <w:r>
        <w:rPr>
          <w:color w:val="000000"/>
          <w:spacing w:val="0"/>
          <w:w w:val="100"/>
          <w:position w:val="0"/>
          <w:shd w:val="clear" w:color="auto" w:fill="auto"/>
          <w:lang w:val="en-US" w:eastAsia="en-US" w:bidi="en-US"/>
        </w:rPr>
        <w:t xml:space="preserve">on high ground at the foot of Mount Ida. On the death of </w:t>
      </w:r>
      <w:r>
        <w:rPr>
          <w:color w:val="000000"/>
          <w:spacing w:val="0"/>
          <w:w w:val="100"/>
          <w:position w:val="0"/>
          <w:shd w:val="clear" w:color="auto" w:fill="auto"/>
          <w:lang w:val="la-001" w:eastAsia="la-001" w:bidi="la-001"/>
        </w:rPr>
        <w:t xml:space="preserve">Teucer, Dardanus </w:t>
      </w:r>
      <w:r>
        <w:rPr>
          <w:color w:val="000000"/>
          <w:spacing w:val="0"/>
          <w:w w:val="100"/>
          <w:position w:val="0"/>
          <w:shd w:val="clear" w:color="auto" w:fill="auto"/>
          <w:lang w:val="en-US" w:eastAsia="en-US" w:bidi="en-US"/>
        </w:rPr>
        <w:t xml:space="preserve">succeeded to the kingdom and called the whole land </w:t>
      </w:r>
      <w:r>
        <w:rPr>
          <w:color w:val="000000"/>
          <w:spacing w:val="0"/>
          <w:w w:val="100"/>
          <w:position w:val="0"/>
          <w:shd w:val="clear" w:color="auto" w:fill="auto"/>
          <w:lang w:val="la-001" w:eastAsia="la-001" w:bidi="la-001"/>
        </w:rPr>
        <w:t xml:space="preserve">Dardania </w:t>
      </w:r>
      <w:r>
        <w:rPr>
          <w:color w:val="000000"/>
          <w:spacing w:val="0"/>
          <w:w w:val="100"/>
          <w:position w:val="0"/>
          <w:shd w:val="clear" w:color="auto" w:fill="auto"/>
          <w:lang w:val="en-US" w:eastAsia="en-US" w:bidi="en-US"/>
        </w:rPr>
        <w:t xml:space="preserve">after himself. He begat </w:t>
      </w:r>
      <w:r>
        <w:rPr>
          <w:color w:val="000000"/>
          <w:spacing w:val="0"/>
          <w:w w:val="100"/>
          <w:position w:val="0"/>
          <w:shd w:val="clear" w:color="auto" w:fill="auto"/>
          <w:lang w:val="la-001" w:eastAsia="la-001" w:bidi="la-001"/>
        </w:rPr>
        <w:t xml:space="preserve">Erichthonius, </w:t>
      </w:r>
      <w:r>
        <w:rPr>
          <w:color w:val="000000"/>
          <w:spacing w:val="0"/>
          <w:w w:val="100"/>
          <w:position w:val="0"/>
          <w:shd w:val="clear" w:color="auto" w:fill="auto"/>
          <w:lang w:val="en-US" w:eastAsia="en-US" w:bidi="en-US"/>
        </w:rPr>
        <w:t xml:space="preserve">who begat a son Tros by Astyoche, daughter of Simois. On succeeding to the throne, Tros called the country Troy and the people Trojans. By Callirrhoe, daughter of </w:t>
      </w:r>
      <w:r>
        <w:rPr>
          <w:color w:val="000000"/>
          <w:spacing w:val="0"/>
          <w:w w:val="100"/>
          <w:position w:val="0"/>
          <w:shd w:val="clear" w:color="auto" w:fill="auto"/>
          <w:lang w:val="la-001" w:eastAsia="la-001" w:bidi="la-001"/>
        </w:rPr>
        <w:t xml:space="preserve">Scamander, </w:t>
      </w:r>
      <w:r>
        <w:rPr>
          <w:color w:val="000000"/>
          <w:spacing w:val="0"/>
          <w:w w:val="100"/>
          <w:position w:val="0"/>
          <w:shd w:val="clear" w:color="auto" w:fill="auto"/>
          <w:lang w:val="en-US" w:eastAsia="en-US" w:bidi="en-US"/>
        </w:rPr>
        <w:t xml:space="preserve">he had three sons,—Ilus, </w:t>
      </w:r>
      <w:r>
        <w:rPr>
          <w:color w:val="000000"/>
          <w:spacing w:val="0"/>
          <w:w w:val="100"/>
          <w:position w:val="0"/>
          <w:shd w:val="clear" w:color="auto" w:fill="auto"/>
          <w:lang w:val="la-001" w:eastAsia="la-001" w:bidi="la-001"/>
        </w:rPr>
        <w:t xml:space="preserve">Assaracus, </w:t>
      </w:r>
      <w:r>
        <w:rPr>
          <w:color w:val="000000"/>
          <w:spacing w:val="0"/>
          <w:w w:val="100"/>
          <w:position w:val="0"/>
          <w:shd w:val="clear" w:color="auto" w:fill="auto"/>
          <w:lang w:val="en-US" w:eastAsia="en-US" w:bidi="en-US"/>
        </w:rPr>
        <w:t xml:space="preserve">and Ganymede. From Ilus and </w:t>
      </w:r>
      <w:r>
        <w:rPr>
          <w:color w:val="000000"/>
          <w:spacing w:val="0"/>
          <w:w w:val="100"/>
          <w:position w:val="0"/>
          <w:shd w:val="clear" w:color="auto" w:fill="auto"/>
          <w:lang w:val="la-001" w:eastAsia="la-001" w:bidi="la-001"/>
        </w:rPr>
        <w:t xml:space="preserve">Assaracus </w:t>
      </w:r>
      <w:r>
        <w:rPr>
          <w:color w:val="000000"/>
          <w:spacing w:val="0"/>
          <w:w w:val="100"/>
          <w:position w:val="0"/>
          <w:shd w:val="clear" w:color="auto" w:fill="auto"/>
          <w:lang w:val="en-US" w:eastAsia="en-US" w:bidi="en-US"/>
        </w:rPr>
        <w:t xml:space="preserve">sprang two separate lines of the royal house,—the one being </w:t>
      </w:r>
      <w:r>
        <w:rPr>
          <w:color w:val="000000"/>
          <w:spacing w:val="0"/>
          <w:w w:val="100"/>
          <w:position w:val="0"/>
          <w:shd w:val="clear" w:color="auto" w:fill="auto"/>
          <w:lang w:val="la-001" w:eastAsia="la-001" w:bidi="la-001"/>
        </w:rPr>
        <w:t xml:space="preserve">Ilus, Laomedon, </w:t>
      </w:r>
      <w:r>
        <w:rPr>
          <w:color w:val="000000"/>
          <w:spacing w:val="0"/>
          <w:w w:val="100"/>
          <w:position w:val="0"/>
          <w:shd w:val="clear" w:color="auto" w:fill="auto"/>
          <w:lang w:val="en-US" w:eastAsia="en-US" w:bidi="en-US"/>
        </w:rPr>
        <w:t xml:space="preserve">Priam, Hector ; the other </w:t>
      </w:r>
      <w:r>
        <w:rPr>
          <w:color w:val="000000"/>
          <w:spacing w:val="0"/>
          <w:w w:val="100"/>
          <w:position w:val="0"/>
          <w:shd w:val="clear" w:color="auto" w:fill="auto"/>
          <w:lang w:val="la-001" w:eastAsia="la-001" w:bidi="la-001"/>
        </w:rPr>
        <w:t xml:space="preserve">Assaracus, </w:t>
      </w:r>
      <w:r>
        <w:rPr>
          <w:color w:val="000000"/>
          <w:spacing w:val="0"/>
          <w:w w:val="100"/>
          <w:position w:val="0"/>
          <w:shd w:val="clear" w:color="auto" w:fill="auto"/>
          <w:lang w:val="en-US" w:eastAsia="en-US" w:bidi="en-US"/>
        </w:rPr>
        <w:t xml:space="preserve">Capys, </w:t>
      </w:r>
      <w:r>
        <w:rPr>
          <w:color w:val="000000"/>
          <w:spacing w:val="0"/>
          <w:w w:val="100"/>
          <w:position w:val="0"/>
          <w:shd w:val="clear" w:color="auto" w:fill="auto"/>
          <w:lang w:val="la-001" w:eastAsia="la-001" w:bidi="la-001"/>
        </w:rPr>
        <w:t xml:space="preserve">Anchises, </w:t>
      </w:r>
      <w:r>
        <w:rPr>
          <w:color w:val="000000"/>
          <w:spacing w:val="0"/>
          <w:w w:val="100"/>
          <w:position w:val="0"/>
          <w:shd w:val="clear" w:color="auto" w:fill="auto"/>
          <w:lang w:val="fr-FR" w:eastAsia="fr-FR" w:bidi="fr-FR"/>
        </w:rPr>
        <w:t xml:space="preserve">Æneas. </w:t>
      </w:r>
      <w:r>
        <w:rPr>
          <w:color w:val="000000"/>
          <w:spacing w:val="0"/>
          <w:w w:val="100"/>
          <w:position w:val="0"/>
          <w:shd w:val="clear" w:color="auto" w:fill="auto"/>
          <w:lang w:val="la-001" w:eastAsia="la-001" w:bidi="la-001"/>
        </w:rPr>
        <w:t xml:space="preserve">Ilus </w:t>
      </w:r>
      <w:r>
        <w:rPr>
          <w:color w:val="000000"/>
          <w:spacing w:val="0"/>
          <w:w w:val="100"/>
          <w:position w:val="0"/>
          <w:shd w:val="clear" w:color="auto" w:fill="auto"/>
          <w:lang w:val="en-US" w:eastAsia="en-US" w:bidi="en-US"/>
        </w:rPr>
        <w:t xml:space="preserve">went to Phrygia, where, being victorious in wrestling, he received as a prize from the king of Phrygia a spotted cow, with an injunction to follow her and found a city wherever she lay down. The cow lay down on the hill of the Phrygian </w:t>
      </w:r>
      <w:r>
        <w:rPr>
          <w:color w:val="000000"/>
          <w:spacing w:val="0"/>
          <w:w w:val="100"/>
          <w:position w:val="0"/>
          <w:shd w:val="clear" w:color="auto" w:fill="auto"/>
          <w:lang w:val="fr-FR" w:eastAsia="fr-FR" w:bidi="fr-FR"/>
        </w:rPr>
        <w:t xml:space="preserve">Até </w:t>
      </w:r>
      <w:r>
        <w:rPr>
          <w:color w:val="000000"/>
          <w:spacing w:val="0"/>
          <w:w w:val="100"/>
          <w:position w:val="0"/>
          <w:shd w:val="clear" w:color="auto" w:fill="auto"/>
          <w:lang w:val="en-US" w:eastAsia="en-US" w:bidi="en-US"/>
        </w:rPr>
        <w:t xml:space="preserve">; and here accordingly Ilus founded the city of </w:t>
      </w:r>
      <w:r>
        <w:rPr>
          <w:color w:val="000000"/>
          <w:spacing w:val="0"/>
          <w:w w:val="100"/>
          <w:position w:val="0"/>
          <w:shd w:val="clear" w:color="auto" w:fill="auto"/>
          <w:lang w:val="la-001" w:eastAsia="la-001" w:bidi="la-001"/>
        </w:rPr>
        <w:t xml:space="preserve">Ilios. </w:t>
      </w:r>
      <w:r>
        <w:rPr>
          <w:color w:val="000000"/>
          <w:spacing w:val="0"/>
          <w:w w:val="100"/>
          <w:position w:val="0"/>
          <w:shd w:val="clear" w:color="auto" w:fill="auto"/>
          <w:lang w:val="en-US" w:eastAsia="en-US" w:bidi="en-US"/>
        </w:rPr>
        <w:t xml:space="preserve">It is stated that </w:t>
      </w:r>
      <w:r>
        <w:rPr>
          <w:color w:val="000000"/>
          <w:spacing w:val="0"/>
          <w:w w:val="100"/>
          <w:position w:val="0"/>
          <w:shd w:val="clear" w:color="auto" w:fill="auto"/>
          <w:lang w:val="la-001" w:eastAsia="la-001" w:bidi="la-001"/>
        </w:rPr>
        <w:t xml:space="preserve">Dardania, </w:t>
      </w:r>
      <w:r>
        <w:rPr>
          <w:color w:val="000000"/>
          <w:spacing w:val="0"/>
          <w:w w:val="100"/>
          <w:position w:val="0"/>
          <w:shd w:val="clear" w:color="auto" w:fill="auto"/>
          <w:lang w:val="en-US" w:eastAsia="en-US" w:bidi="en-US"/>
        </w:rPr>
        <w:t xml:space="preserve">Troy, and </w:t>
      </w:r>
      <w:r>
        <w:rPr>
          <w:color w:val="000000"/>
          <w:spacing w:val="0"/>
          <w:w w:val="100"/>
          <w:position w:val="0"/>
          <w:shd w:val="clear" w:color="auto" w:fill="auto"/>
          <w:lang w:val="la-001" w:eastAsia="la-001" w:bidi="la-001"/>
        </w:rPr>
        <w:t xml:space="preserve">Ilios </w:t>
      </w:r>
      <w:r>
        <w:rPr>
          <w:color w:val="000000"/>
          <w:spacing w:val="0"/>
          <w:w w:val="100"/>
          <w:position w:val="0"/>
          <w:shd w:val="clear" w:color="auto" w:fill="auto"/>
          <w:lang w:val="en-US" w:eastAsia="en-US" w:bidi="en-US"/>
        </w:rPr>
        <w:t xml:space="preserve">became one city. Desiring a sign at the foundation of </w:t>
      </w:r>
      <w:r>
        <w:rPr>
          <w:color w:val="000000"/>
          <w:spacing w:val="0"/>
          <w:w w:val="100"/>
          <w:position w:val="0"/>
          <w:shd w:val="clear" w:color="auto" w:fill="auto"/>
          <w:lang w:val="la-001" w:eastAsia="la-001" w:bidi="la-001"/>
        </w:rPr>
        <w:t xml:space="preserve">Ilios, </w:t>
      </w:r>
      <w:r>
        <w:rPr>
          <w:color w:val="000000"/>
          <w:spacing w:val="0"/>
          <w:w w:val="100"/>
          <w:position w:val="0"/>
          <w:shd w:val="clear" w:color="auto" w:fill="auto"/>
          <w:lang w:val="en-US" w:eastAsia="en-US" w:bidi="en-US"/>
        </w:rPr>
        <w:t>Hus prayed to Zeus and as an answer he found lying before his tent the Palladium, a wooden statue of Pallas, three cubits high, with her feet joined, a spear in her right hand, and a distaff and spindle in her left. Ilus built a temple for the image and wor</w:t>
        <w:softHyphen/>
        <w:t xml:space="preserve">shipped it. By </w:t>
      </w:r>
      <w:r>
        <w:rPr>
          <w:color w:val="000000"/>
          <w:spacing w:val="0"/>
          <w:w w:val="100"/>
          <w:position w:val="0"/>
          <w:shd w:val="clear" w:color="auto" w:fill="auto"/>
          <w:lang w:val="la-001" w:eastAsia="la-001" w:bidi="la-001"/>
        </w:rPr>
        <w:t xml:space="preserve">Eurydice, </w:t>
      </w:r>
      <w:r>
        <w:rPr>
          <w:color w:val="000000"/>
          <w:spacing w:val="0"/>
          <w:w w:val="100"/>
          <w:position w:val="0"/>
          <w:shd w:val="clear" w:color="auto" w:fill="auto"/>
          <w:lang w:val="en-US" w:eastAsia="en-US" w:bidi="en-US"/>
        </w:rPr>
        <w:t xml:space="preserve">daughter of </w:t>
      </w:r>
      <w:r>
        <w:rPr>
          <w:color w:val="000000"/>
          <w:spacing w:val="0"/>
          <w:w w:val="100"/>
          <w:position w:val="0"/>
          <w:shd w:val="clear" w:color="auto" w:fill="auto"/>
          <w:lang w:val="la-001" w:eastAsia="la-001" w:bidi="la-001"/>
        </w:rPr>
        <w:t xml:space="preserve">Adrastus, </w:t>
      </w:r>
      <w:r>
        <w:rPr>
          <w:color w:val="000000"/>
          <w:spacing w:val="0"/>
          <w:w w:val="100"/>
          <w:position w:val="0"/>
          <w:shd w:val="clear" w:color="auto" w:fill="auto"/>
          <w:lang w:val="en-US" w:eastAsia="en-US" w:bidi="en-US"/>
        </w:rPr>
        <w:t xml:space="preserve">he had a son </w:t>
      </w:r>
      <w:r>
        <w:rPr>
          <w:color w:val="000000"/>
          <w:spacing w:val="0"/>
          <w:w w:val="100"/>
          <w:position w:val="0"/>
          <w:shd w:val="clear" w:color="auto" w:fill="auto"/>
          <w:lang w:val="la-001" w:eastAsia="la-001" w:bidi="la-001"/>
        </w:rPr>
        <w:t xml:space="preserve">Laomedon. Laomedon </w:t>
      </w:r>
      <w:r>
        <w:rPr>
          <w:color w:val="000000"/>
          <w:spacing w:val="0"/>
          <w:w w:val="100"/>
          <w:position w:val="0"/>
          <w:shd w:val="clear" w:color="auto" w:fill="auto"/>
          <w:lang w:val="en-US" w:eastAsia="en-US" w:bidi="en-US"/>
        </w:rPr>
        <w:t xml:space="preserve">married </w:t>
      </w:r>
      <w:r>
        <w:rPr>
          <w:color w:val="000000"/>
          <w:spacing w:val="0"/>
          <w:w w:val="100"/>
          <w:position w:val="0"/>
          <w:shd w:val="clear" w:color="auto" w:fill="auto"/>
          <w:lang w:val="la-001" w:eastAsia="la-001" w:bidi="la-001"/>
        </w:rPr>
        <w:t xml:space="preserve">Strymo, </w:t>
      </w:r>
      <w:r>
        <w:rPr>
          <w:color w:val="000000"/>
          <w:spacing w:val="0"/>
          <w:w w:val="100"/>
          <w:position w:val="0"/>
          <w:shd w:val="clear" w:color="auto" w:fill="auto"/>
          <w:lang w:val="en-US" w:eastAsia="en-US" w:bidi="en-US"/>
        </w:rPr>
        <w:t xml:space="preserve">daughter of </w:t>
      </w:r>
      <w:r>
        <w:rPr>
          <w:color w:val="000000"/>
          <w:spacing w:val="0"/>
          <w:w w:val="100"/>
          <w:position w:val="0"/>
          <w:shd w:val="clear" w:color="auto" w:fill="auto"/>
          <w:lang w:val="la-001" w:eastAsia="la-001" w:bidi="la-001"/>
        </w:rPr>
        <w:t xml:space="preserve">Scamander, </w:t>
      </w:r>
      <w:r>
        <w:rPr>
          <w:color w:val="000000"/>
          <w:spacing w:val="0"/>
          <w:w w:val="100"/>
          <w:position w:val="0"/>
          <w:shd w:val="clear" w:color="auto" w:fill="auto"/>
          <w:lang w:val="en-US" w:eastAsia="en-US" w:bidi="en-US"/>
        </w:rPr>
        <w:t xml:space="preserve">or Placia, daughter of </w:t>
      </w:r>
      <w:r>
        <w:rPr>
          <w:color w:val="000000"/>
          <w:spacing w:val="0"/>
          <w:w w:val="100"/>
          <w:position w:val="0"/>
          <w:shd w:val="clear" w:color="auto" w:fill="auto"/>
          <w:lang w:val="la-001" w:eastAsia="la-001" w:bidi="la-001"/>
        </w:rPr>
        <w:t xml:space="preserve">Atreus </w:t>
      </w:r>
      <w:r>
        <w:rPr>
          <w:color w:val="000000"/>
          <w:spacing w:val="0"/>
          <w:w w:val="100"/>
          <w:position w:val="0"/>
          <w:shd w:val="clear" w:color="auto" w:fill="auto"/>
          <w:lang w:val="en-US" w:eastAsia="en-US" w:bidi="en-US"/>
        </w:rPr>
        <w:t xml:space="preserve">or of Leucippus. It was in his reign that Poseidon and Apollo, or Poseidon alone, built the walls of Troy. In his reign also Hercules besieged and took the city, slaying </w:t>
      </w:r>
      <w:r>
        <w:rPr>
          <w:color w:val="000000"/>
          <w:spacing w:val="0"/>
          <w:w w:val="100"/>
          <w:position w:val="0"/>
          <w:shd w:val="clear" w:color="auto" w:fill="auto"/>
          <w:lang w:val="la-001" w:eastAsia="la-001" w:bidi="la-001"/>
        </w:rPr>
        <w:t xml:space="preserve">Laomedon </w:t>
      </w:r>
      <w:r>
        <w:rPr>
          <w:color w:val="000000"/>
          <w:spacing w:val="0"/>
          <w:w w:val="100"/>
          <w:position w:val="0"/>
          <w:shd w:val="clear" w:color="auto" w:fill="auto"/>
          <w:lang w:val="en-US" w:eastAsia="en-US" w:bidi="en-US"/>
        </w:rPr>
        <w:t xml:space="preserve">and his children, except one daughter Hesione and one son Pod- arces. The life of Podarces was granted at the request of Hesione ; but Hercules stipulated that Podarces must first be a slave and then be redeemed by Hesione ; she gave her veil for him ; hence his name of Priam (from </w:t>
      </w:r>
      <w:r>
        <w:rPr>
          <w:i/>
          <w:iCs/>
          <w:color w:val="000000"/>
          <w:spacing w:val="0"/>
          <w:w w:val="100"/>
          <w:position w:val="0"/>
          <w:shd w:val="clear" w:color="auto" w:fill="auto"/>
          <w:lang w:val="en-US" w:eastAsia="en-US" w:bidi="en-US"/>
        </w:rPr>
        <w:t>pτiasthai</w:t>
      </w:r>
      <w:r>
        <w:rPr>
          <w:color w:val="000000"/>
          <w:spacing w:val="0"/>
          <w:w w:val="100"/>
          <w:position w:val="0"/>
          <w:shd w:val="clear" w:color="auto" w:fill="auto"/>
          <w:lang w:val="en-US" w:eastAsia="en-US" w:bidi="en-US"/>
        </w:rPr>
        <w:t xml:space="preserve"> to buy). Priam married first Arisbe and after</w:t>
        <w:softHyphen/>
        <w:t xml:space="preserve">wards Hecuba and had fifty sons and twelve daughters. Among the sons were Hector and Paris, and among the daughters </w:t>
      </w:r>
      <w:r>
        <w:rPr>
          <w:color w:val="000000"/>
          <w:spacing w:val="0"/>
          <w:w w:val="100"/>
          <w:position w:val="0"/>
          <w:shd w:val="clear" w:color="auto" w:fill="auto"/>
          <w:lang w:val="la-001" w:eastAsia="la-001" w:bidi="la-001"/>
        </w:rPr>
        <w:t xml:space="preserve">Polyxena </w:t>
      </w:r>
      <w:r>
        <w:rPr>
          <w:color w:val="000000"/>
          <w:spacing w:val="0"/>
          <w:w w:val="100"/>
          <w:position w:val="0"/>
          <w:shd w:val="clear" w:color="auto" w:fill="auto"/>
          <w:lang w:val="en-US" w:eastAsia="en-US" w:bidi="en-US"/>
        </w:rPr>
        <w:t xml:space="preserve">and Cassandra. To recover Helen, whom Paris carried off from Sparta, the Greeks under Agamemnon besieged Troy for ten years. (See </w:t>
      </w:r>
      <w:r>
        <w:rPr>
          <w:smallCaps/>
          <w:color w:val="000000"/>
          <w:spacing w:val="0"/>
          <w:w w:val="100"/>
          <w:position w:val="0"/>
          <w:shd w:val="clear" w:color="auto" w:fill="auto"/>
          <w:lang w:val="en-US" w:eastAsia="en-US" w:bidi="en-US"/>
        </w:rPr>
        <w:t>Achilles, Agamemnon, Ajax, Hector, Helen, Paris.)</w:t>
      </w:r>
      <w:r>
        <w:rPr>
          <w:color w:val="000000"/>
          <w:spacing w:val="0"/>
          <w:w w:val="100"/>
          <w:position w:val="0"/>
          <w:shd w:val="clear" w:color="auto" w:fill="auto"/>
          <w:lang w:val="en-US" w:eastAsia="en-US" w:bidi="en-US"/>
        </w:rPr>
        <w:t xml:space="preserve"> At last they contrived a wooden horse, in whose hollow belly many of the Greek heroes hid themselves. Their army and fleet then withdrew to </w:t>
      </w:r>
      <w:r>
        <w:rPr>
          <w:color w:val="000000"/>
          <w:spacing w:val="0"/>
          <w:w w:val="100"/>
          <w:position w:val="0"/>
          <w:shd w:val="clear" w:color="auto" w:fill="auto"/>
          <w:lang w:val="la-001" w:eastAsia="la-001" w:bidi="la-001"/>
        </w:rPr>
        <w:t xml:space="preserve">Tenedos, </w:t>
      </w:r>
      <w:r>
        <w:rPr>
          <w:color w:val="000000"/>
          <w:spacing w:val="0"/>
          <w:w w:val="100"/>
          <w:position w:val="0"/>
          <w:shd w:val="clear" w:color="auto" w:fill="auto"/>
          <w:lang w:val="en-US" w:eastAsia="en-US" w:bidi="en-US"/>
        </w:rPr>
        <w:t>feigning to have raised the siege. The Trojans conveyed the wooden horse into Troy ; in the night the Greeks stole out, opened the gates to their returning friends, and Troy was taken.</w:t>
      </w:r>
    </w:p>
    <w:p>
      <w:pPr>
        <w:pStyle w:val="Style8"/>
        <w:keepNext w:val="0"/>
        <w:keepLines w:val="0"/>
        <w:widowControl w:val="0"/>
        <w:shd w:val="clear" w:color="auto" w:fill="auto"/>
        <w:bidi w:val="0"/>
        <w:spacing w:line="161" w:lineRule="auto"/>
        <w:ind w:left="0" w:firstLine="360"/>
        <w:jc w:val="left"/>
        <w:rPr>
          <w:sz w:val="32"/>
          <w:szCs w:val="32"/>
        </w:rPr>
      </w:pPr>
      <w:r>
        <w:rPr>
          <w:color w:val="000000"/>
          <w:spacing w:val="0"/>
          <w:w w:val="100"/>
          <w:position w:val="0"/>
          <w:sz w:val="17"/>
          <w:szCs w:val="17"/>
          <w:shd w:val="clear" w:color="auto" w:fill="auto"/>
          <w:lang w:val="en-US" w:eastAsia="en-US" w:bidi="en-US"/>
        </w:rPr>
        <w:t xml:space="preserve">See Horner, </w:t>
      </w:r>
      <w:r>
        <w:rPr>
          <w:i/>
          <w:iCs/>
          <w:color w:val="000000"/>
          <w:spacing w:val="0"/>
          <w:w w:val="100"/>
          <w:position w:val="0"/>
          <w:sz w:val="17"/>
          <w:szCs w:val="17"/>
          <w:shd w:val="clear" w:color="auto" w:fill="auto"/>
          <w:lang w:val="en-US" w:eastAsia="en-US" w:bidi="en-US"/>
        </w:rPr>
        <w:t>I</w:t>
      </w:r>
      <w:r>
        <w:rPr>
          <w:rFonts w:ascii="Arial" w:eastAsia="Arial" w:hAnsi="Arial" w:cs="Arial"/>
          <w:i/>
          <w:iCs/>
          <w:color w:val="000000"/>
          <w:spacing w:val="0"/>
          <w:w w:val="100"/>
          <w:position w:val="0"/>
          <w:sz w:val="32"/>
          <w:szCs w:val="32"/>
          <w:shd w:val="clear" w:color="auto" w:fill="auto"/>
          <w:lang w:val="en-US" w:eastAsia="en-US" w:bidi="en-US"/>
        </w:rPr>
        <w:t>l.,</w:t>
      </w:r>
      <w:r>
        <w:rPr>
          <w:color w:val="000000"/>
          <w:spacing w:val="0"/>
          <w:w w:val="100"/>
          <w:position w:val="0"/>
          <w:sz w:val="17"/>
          <w:szCs w:val="17"/>
          <w:shd w:val="clear" w:color="auto" w:fill="auto"/>
          <w:lang w:val="en-US" w:eastAsia="en-US" w:bidi="en-US"/>
        </w:rPr>
        <w:t xml:space="preserve"> vii. 452 </w:t>
      </w:r>
      <w:r>
        <w:rPr>
          <w:rFonts w:ascii="Arial" w:eastAsia="Arial" w:hAnsi="Arial" w:cs="Arial"/>
          <w:i/>
          <w:iCs/>
          <w:color w:val="000000"/>
          <w:spacing w:val="0"/>
          <w:w w:val="100"/>
          <w:position w:val="0"/>
          <w:sz w:val="32"/>
          <w:szCs w:val="32"/>
          <w:shd w:val="clear" w:color="auto" w:fill="auto"/>
          <w:lang w:val="en-US" w:eastAsia="en-US" w:bidi="en-US"/>
        </w:rPr>
        <w:t>sq.,</w:t>
      </w:r>
      <w:r>
        <w:rPr>
          <w:color w:val="000000"/>
          <w:spacing w:val="0"/>
          <w:w w:val="100"/>
          <w:position w:val="0"/>
          <w:sz w:val="17"/>
          <w:szCs w:val="17"/>
          <w:shd w:val="clear" w:color="auto" w:fill="auto"/>
          <w:lang w:val="en-US" w:eastAsia="en-US" w:bidi="en-US"/>
        </w:rPr>
        <w:t xml:space="preserve"> xx. 215 </w:t>
      </w:r>
      <w:r>
        <w:rPr>
          <w:rFonts w:ascii="Arial" w:eastAsia="Arial" w:hAnsi="Arial" w:cs="Arial"/>
          <w:i/>
          <w:iCs/>
          <w:color w:val="000000"/>
          <w:spacing w:val="0"/>
          <w:w w:val="100"/>
          <w:position w:val="0"/>
          <w:sz w:val="32"/>
          <w:szCs w:val="32"/>
          <w:shd w:val="clear" w:color="auto" w:fill="auto"/>
          <w:lang w:val="en-US" w:eastAsia="en-US" w:bidi="en-US"/>
        </w:rPr>
        <w:t>sq.,</w:t>
      </w:r>
      <w:r>
        <w:rPr>
          <w:color w:val="000000"/>
          <w:spacing w:val="0"/>
          <w:w w:val="100"/>
          <w:position w:val="0"/>
          <w:sz w:val="17"/>
          <w:szCs w:val="17"/>
          <w:shd w:val="clear" w:color="auto" w:fill="auto"/>
          <w:lang w:val="en-US" w:eastAsia="en-US" w:bidi="en-US"/>
        </w:rPr>
        <w:t xml:space="preserve"> xxi. 446 </w:t>
      </w:r>
      <w:r>
        <w:rPr>
          <w:rFonts w:ascii="Arial" w:eastAsia="Arial" w:hAnsi="Arial" w:cs="Arial"/>
          <w:i/>
          <w:iCs/>
          <w:color w:val="000000"/>
          <w:spacing w:val="0"/>
          <w:w w:val="100"/>
          <w:position w:val="0"/>
          <w:sz w:val="32"/>
          <w:szCs w:val="32"/>
          <w:shd w:val="clear" w:color="auto" w:fill="auto"/>
          <w:lang w:val="en-US" w:eastAsia="en-US" w:bidi="en-US"/>
        </w:rPr>
        <w:t>sq.</w:t>
      </w:r>
      <w:r>
        <w:rPr>
          <w:color w:val="000000"/>
          <w:spacing w:val="0"/>
          <w:w w:val="100"/>
          <w:position w:val="0"/>
          <w:sz w:val="17"/>
          <w:szCs w:val="17"/>
          <w:shd w:val="clear" w:color="auto" w:fill="auto"/>
          <w:lang w:val="en-US" w:eastAsia="en-US" w:bidi="en-US"/>
        </w:rPr>
        <w:t xml:space="preserve"> ; </w:t>
      </w:r>
      <w:r>
        <w:rPr>
          <w:color w:val="000000"/>
          <w:spacing w:val="0"/>
          <w:w w:val="100"/>
          <w:position w:val="0"/>
          <w:sz w:val="17"/>
          <w:szCs w:val="17"/>
          <w:shd w:val="clear" w:color="auto" w:fill="auto"/>
          <w:lang w:val="la-001" w:eastAsia="la-001" w:bidi="la-001"/>
        </w:rPr>
        <w:t>Apollo</w:t>
        <w:softHyphen/>
        <w:t xml:space="preserve">dorus, </w:t>
      </w:r>
      <w:r>
        <w:rPr>
          <w:color w:val="000000"/>
          <w:spacing w:val="0"/>
          <w:w w:val="100"/>
          <w:position w:val="0"/>
          <w:sz w:val="17"/>
          <w:szCs w:val="17"/>
          <w:shd w:val="clear" w:color="auto" w:fill="auto"/>
          <w:lang w:val="en-US" w:eastAsia="en-US" w:bidi="en-US"/>
        </w:rPr>
        <w:t xml:space="preserve">ii. 6, 4, iii. 12 ; Diodorus, iv. 75, v. 48 ; Tzetzes, </w:t>
      </w:r>
      <w:r>
        <w:rPr>
          <w:rFonts w:ascii="Arial" w:eastAsia="Arial" w:hAnsi="Arial" w:cs="Arial"/>
          <w:i/>
          <w:iCs/>
          <w:color w:val="000000"/>
          <w:spacing w:val="0"/>
          <w:w w:val="100"/>
          <w:position w:val="0"/>
          <w:sz w:val="32"/>
          <w:szCs w:val="32"/>
          <w:shd w:val="clear" w:color="auto" w:fill="auto"/>
          <w:lang w:val="en-US" w:eastAsia="en-US" w:bidi="en-US"/>
        </w:rPr>
        <w:t xml:space="preserve">Schol. on </w:t>
      </w:r>
      <w:r>
        <w:rPr>
          <w:rFonts w:ascii="Arial" w:eastAsia="Arial" w:hAnsi="Arial" w:cs="Arial"/>
          <w:i/>
          <w:iCs/>
          <w:color w:val="000000"/>
          <w:spacing w:val="0"/>
          <w:w w:val="100"/>
          <w:position w:val="0"/>
          <w:sz w:val="32"/>
          <w:szCs w:val="32"/>
          <w:shd w:val="clear" w:color="auto" w:fill="auto"/>
          <w:lang w:val="la-001" w:eastAsia="la-001" w:bidi="la-001"/>
        </w:rPr>
        <w:t>Lycophron,</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29, 72, 1302 ; </w:t>
      </w:r>
      <w:r>
        <w:rPr>
          <w:color w:val="000000"/>
          <w:spacing w:val="0"/>
          <w:w w:val="100"/>
          <w:position w:val="0"/>
          <w:sz w:val="17"/>
          <w:szCs w:val="17"/>
          <w:shd w:val="clear" w:color="auto" w:fill="auto"/>
          <w:lang w:val="la-001" w:eastAsia="la-001" w:bidi="la-001"/>
        </w:rPr>
        <w:t xml:space="preserve">Conon, </w:t>
      </w:r>
      <w:r>
        <w:rPr>
          <w:rFonts w:ascii="Arial" w:eastAsia="Arial" w:hAnsi="Arial" w:cs="Arial"/>
          <w:i/>
          <w:iCs/>
          <w:color w:val="000000"/>
          <w:spacing w:val="0"/>
          <w:w w:val="100"/>
          <w:position w:val="0"/>
          <w:sz w:val="32"/>
          <w:szCs w:val="32"/>
          <w:shd w:val="clear" w:color="auto" w:fill="auto"/>
          <w:lang w:val="en-US" w:eastAsia="en-US" w:bidi="en-US"/>
        </w:rPr>
        <w:t>Narrαt.</w:t>
      </w:r>
      <w:r>
        <w:rPr>
          <w:color w:val="000000"/>
          <w:spacing w:val="0"/>
          <w:w w:val="100"/>
          <w:position w:val="0"/>
          <w:sz w:val="17"/>
          <w:szCs w:val="17"/>
          <w:shd w:val="clear" w:color="auto" w:fill="auto"/>
          <w:lang w:val="en-US" w:eastAsia="en-US" w:bidi="en-US"/>
        </w:rPr>
        <w:t xml:space="preserve">, 21 ; Dionysius </w:t>
      </w:r>
      <w:r>
        <w:rPr>
          <w:color w:val="000000"/>
          <w:spacing w:val="0"/>
          <w:w w:val="100"/>
          <w:position w:val="0"/>
          <w:sz w:val="17"/>
          <w:szCs w:val="17"/>
          <w:shd w:val="clear" w:color="auto" w:fill="auto"/>
          <w:lang w:val="la-001" w:eastAsia="la-001" w:bidi="la-001"/>
        </w:rPr>
        <w:t xml:space="preserve">Halicam., </w:t>
      </w:r>
      <w:r>
        <w:rPr>
          <w:rFonts w:ascii="Arial" w:eastAsia="Arial" w:hAnsi="Arial" w:cs="Arial"/>
          <w:i/>
          <w:iCs/>
          <w:color w:val="000000"/>
          <w:spacing w:val="0"/>
          <w:w w:val="100"/>
          <w:position w:val="0"/>
          <w:sz w:val="32"/>
          <w:szCs w:val="32"/>
          <w:shd w:val="clear" w:color="auto" w:fill="auto"/>
          <w:lang w:val="en-US" w:eastAsia="en-US" w:bidi="en-US"/>
        </w:rPr>
        <w:t>Antiq. Rom.,</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la-001" w:eastAsia="la-001" w:bidi="la-001"/>
        </w:rPr>
        <w:t xml:space="preserve">i. </w:t>
      </w:r>
      <w:r>
        <w:rPr>
          <w:color w:val="000000"/>
          <w:spacing w:val="0"/>
          <w:w w:val="100"/>
          <w:position w:val="0"/>
          <w:sz w:val="17"/>
          <w:szCs w:val="17"/>
          <w:shd w:val="clear" w:color="auto" w:fill="auto"/>
          <w:lang w:val="en-US" w:eastAsia="en-US" w:bidi="en-US"/>
        </w:rPr>
        <w:t xml:space="preserve">68 </w:t>
      </w:r>
      <w:r>
        <w:rPr>
          <w:rFonts w:ascii="Arial" w:eastAsia="Arial" w:hAnsi="Arial" w:cs="Arial"/>
          <w:i/>
          <w:iCs/>
          <w:color w:val="000000"/>
          <w:spacing w:val="0"/>
          <w:w w:val="100"/>
          <w:position w:val="0"/>
          <w:sz w:val="32"/>
          <w:szCs w:val="32"/>
          <w:shd w:val="clear" w:color="auto" w:fill="auto"/>
          <w:lang w:val="la-001" w:eastAsia="la-001" w:bidi="la-001"/>
        </w:rPr>
        <w:t>sq.</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The Iliad deals with a period of fifty-one days in the tenth year of the war. For the wooden horse, see Homer, </w:t>
      </w:r>
      <w:r>
        <w:rPr>
          <w:rFonts w:ascii="Arial" w:eastAsia="Arial" w:hAnsi="Arial" w:cs="Arial"/>
          <w:i/>
          <w:iCs/>
          <w:color w:val="000000"/>
          <w:spacing w:val="0"/>
          <w:w w:val="100"/>
          <w:position w:val="0"/>
          <w:sz w:val="32"/>
          <w:szCs w:val="32"/>
          <w:shd w:val="clear" w:color="auto" w:fill="auto"/>
          <w:lang w:val="en-US" w:eastAsia="en-US" w:bidi="en-US"/>
        </w:rPr>
        <w:t>Od.,</w:t>
      </w:r>
      <w:r>
        <w:rPr>
          <w:color w:val="000000"/>
          <w:spacing w:val="0"/>
          <w:w w:val="100"/>
          <w:position w:val="0"/>
          <w:sz w:val="17"/>
          <w:szCs w:val="17"/>
          <w:shd w:val="clear" w:color="auto" w:fill="auto"/>
          <w:lang w:val="en-US" w:eastAsia="en-US" w:bidi="en-US"/>
        </w:rPr>
        <w:t xml:space="preserve"> iv. 271 </w:t>
      </w:r>
      <w:r>
        <w:rPr>
          <w:rFonts w:ascii="Arial" w:eastAsia="Arial" w:hAnsi="Arial" w:cs="Arial"/>
          <w:i/>
          <w:iCs/>
          <w:color w:val="000000"/>
          <w:spacing w:val="0"/>
          <w:w w:val="100"/>
          <w:position w:val="0"/>
          <w:sz w:val="32"/>
          <w:szCs w:val="32"/>
          <w:shd w:val="clear" w:color="auto" w:fill="auto"/>
          <w:lang w:val="en-US" w:eastAsia="en-US" w:bidi="en-US"/>
        </w:rPr>
        <w:t>sq.</w:t>
      </w:r>
      <w:r>
        <w:rPr>
          <w:color w:val="000000"/>
          <w:spacing w:val="0"/>
          <w:w w:val="100"/>
          <w:position w:val="0"/>
          <w:sz w:val="17"/>
          <w:szCs w:val="17"/>
          <w:shd w:val="clear" w:color="auto" w:fill="auto"/>
          <w:lang w:val="en-US" w:eastAsia="en-US" w:bidi="en-US"/>
        </w:rPr>
        <w:t xml:space="preserve"> ; Virgil, </w:t>
      </w:r>
      <w:r>
        <w:rPr>
          <w:rFonts w:ascii="Arial" w:eastAsia="Arial" w:hAnsi="Arial" w:cs="Arial"/>
          <w:i/>
          <w:iCs/>
          <w:color w:val="000000"/>
          <w:spacing w:val="0"/>
          <w:w w:val="100"/>
          <w:position w:val="0"/>
          <w:sz w:val="32"/>
          <w:szCs w:val="32"/>
          <w:shd w:val="clear" w:color="auto" w:fill="auto"/>
          <w:lang w:val="fr-FR" w:eastAsia="fr-FR" w:bidi="fr-FR"/>
        </w:rPr>
        <w:t>Æn.,</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ii. 13 </w:t>
      </w:r>
      <w:r>
        <w:rPr>
          <w:rFonts w:ascii="Arial" w:eastAsia="Arial" w:hAnsi="Arial" w:cs="Arial"/>
          <w:i/>
          <w:iCs/>
          <w:color w:val="000000"/>
          <w:spacing w:val="0"/>
          <w:w w:val="100"/>
          <w:position w:val="0"/>
          <w:sz w:val="32"/>
          <w:szCs w:val="32"/>
          <w:shd w:val="clear" w:color="auto" w:fill="auto"/>
          <w:lang w:val="en-US" w:eastAsia="en-US" w:bidi="en-US"/>
        </w:rPr>
        <w:t>sq.</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TROGLODYTES (τ</w:t>
      </w:r>
      <w:r>
        <w:rPr>
          <w:color w:val="000000"/>
          <w:spacing w:val="0"/>
          <w:w w:val="100"/>
          <w:position w:val="0"/>
          <w:shd w:val="clear" w:color="auto" w:fill="auto"/>
          <w:lang w:val="en-US" w:eastAsia="en-US" w:bidi="en-US"/>
        </w:rPr>
        <w:t>ρ</w:t>
      </w:r>
      <w:r>
        <w:rPr>
          <w:color w:val="000000"/>
          <w:spacing w:val="0"/>
          <w:w w:val="100"/>
          <w:position w:val="0"/>
          <w:shd w:val="clear" w:color="auto" w:fill="auto"/>
          <w:lang w:val="en-US" w:eastAsia="en-US" w:bidi="en-US"/>
        </w:rPr>
        <w:t>ωγλoδ</w:t>
      </w:r>
      <w:r>
        <w:rPr>
          <w:color w:val="000000"/>
          <w:spacing w:val="0"/>
          <w:w w:val="100"/>
          <w:position w:val="0"/>
          <w:shd w:val="clear" w:color="auto" w:fill="auto"/>
          <w:lang w:val="en-US" w:eastAsia="en-US" w:bidi="en-US"/>
        </w:rPr>
        <w:t>ύ</w:t>
      </w:r>
      <w:r>
        <w:rPr>
          <w:color w:val="000000"/>
          <w:spacing w:val="0"/>
          <w:w w:val="100"/>
          <w:position w:val="0"/>
          <w:shd w:val="clear" w:color="auto" w:fill="auto"/>
          <w:lang w:val="en-US" w:eastAsia="en-US" w:bidi="en-US"/>
        </w:rPr>
        <w:t>τα</w:t>
      </w:r>
      <w:r>
        <w:rPr>
          <w:color w:val="000000"/>
          <w:spacing w:val="0"/>
          <w:w w:val="100"/>
          <w:position w:val="0"/>
          <w:shd w:val="clear" w:color="auto" w:fill="auto"/>
          <w:lang w:val="en-US" w:eastAsia="en-US" w:bidi="en-US"/>
        </w:rPr>
        <w:t>ι</w:t>
      </w:r>
      <w:r>
        <w:rPr>
          <w:color w:val="000000"/>
          <w:spacing w:val="0"/>
          <w:w w:val="100"/>
          <w:position w:val="0"/>
          <w:shd w:val="clear" w:color="auto" w:fill="auto"/>
          <w:lang w:val="en-US" w:eastAsia="en-US" w:bidi="en-US"/>
        </w:rPr>
        <w:t>), a Greek word mean</w:t>
        <w:softHyphen/>
        <w:t xml:space="preserve">ing “cave-dwellers.” Caves have been widely used as human habitations both in prehistoric and in historic times (see </w:t>
      </w:r>
      <w:r>
        <w:rPr>
          <w:smallCaps/>
          <w:color w:val="000000"/>
          <w:spacing w:val="0"/>
          <w:w w:val="100"/>
          <w:position w:val="0"/>
          <w:shd w:val="clear" w:color="auto" w:fill="auto"/>
          <w:lang w:val="en-US" w:eastAsia="en-US" w:bidi="en-US"/>
        </w:rPr>
        <w:t>Cave),</w:t>
      </w:r>
      <w:r>
        <w:rPr>
          <w:color w:val="000000"/>
          <w:spacing w:val="0"/>
          <w:w w:val="100"/>
          <w:position w:val="0"/>
          <w:shd w:val="clear" w:color="auto" w:fill="auto"/>
          <w:lang w:val="en-US" w:eastAsia="en-US" w:bidi="en-US"/>
        </w:rPr>
        <w:t xml:space="preserve"> and ancient writers speak of Troglodytes in various parts of the world, as in </w:t>
      </w:r>
      <w:r>
        <w:rPr>
          <w:color w:val="000000"/>
          <w:spacing w:val="0"/>
          <w:w w:val="100"/>
          <w:position w:val="0"/>
          <w:shd w:val="clear" w:color="auto" w:fill="auto"/>
          <w:lang w:val="fr-FR" w:eastAsia="fr-FR" w:bidi="fr-FR"/>
        </w:rPr>
        <w:t xml:space="preserve">Mœsia </w:t>
      </w:r>
      <w:r>
        <w:rPr>
          <w:color w:val="000000"/>
          <w:spacing w:val="0"/>
          <w:w w:val="100"/>
          <w:position w:val="0"/>
          <w:shd w:val="clear" w:color="auto" w:fill="auto"/>
          <w:lang w:val="en-US" w:eastAsia="en-US" w:bidi="en-US"/>
        </w:rPr>
        <w:t xml:space="preserve">near the lower </w:t>
      </w:r>
      <w:r>
        <w:rPr>
          <w:color w:val="000000"/>
          <w:spacing w:val="0"/>
          <w:w w:val="100"/>
          <w:position w:val="0"/>
          <w:shd w:val="clear" w:color="auto" w:fill="auto"/>
          <w:lang w:val="en-US" w:eastAsia="en-US" w:bidi="en-US"/>
        </w:rPr>
        <w:t xml:space="preserve">Danube (Strabo, vii. 5, p. 318), in the Caucasus (Id., xi. 5, p. 506), but especially in various parts of Africa from Libya (Id., xvii. 3, p. 828) to the Red Sea. Herodotus (iv. 183) tells of a race of Troglodyte Ethiopians in inner Africa, very swift of foot, living on lizards and creeping things, and with a speech like the screech of an owl. The </w:t>
      </w:r>
      <w:r>
        <w:rPr>
          <w:color w:val="000000"/>
          <w:spacing w:val="0"/>
          <w:w w:val="100"/>
          <w:position w:val="0"/>
          <w:shd w:val="clear" w:color="auto" w:fill="auto"/>
          <w:lang w:val="la-001" w:eastAsia="la-001" w:bidi="la-001"/>
        </w:rPr>
        <w:t xml:space="preserve">Garamantes </w:t>
      </w:r>
      <w:r>
        <w:rPr>
          <w:color w:val="000000"/>
          <w:spacing w:val="0"/>
          <w:w w:val="100"/>
          <w:position w:val="0"/>
          <w:shd w:val="clear" w:color="auto" w:fill="auto"/>
          <w:lang w:val="en-US" w:eastAsia="en-US" w:bidi="en-US"/>
        </w:rPr>
        <w:t xml:space="preserve">hunted them for slaves. It has been supposed that these Troglodytes may be Tibbus, who still in part are cave-dwellers. Aristotle also </w:t>
      </w:r>
      <w:r>
        <w:rPr>
          <w:i/>
          <w:iCs/>
          <w:color w:val="000000"/>
          <w:spacing w:val="0"/>
          <w:w w:val="100"/>
          <w:position w:val="0"/>
          <w:shd w:val="clear" w:color="auto" w:fill="auto"/>
          <w:lang w:val="en-US" w:eastAsia="en-US" w:bidi="en-US"/>
        </w:rPr>
        <w:t>Hist. An.,</w:t>
      </w:r>
      <w:r>
        <w:rPr>
          <w:color w:val="000000"/>
          <w:spacing w:val="0"/>
          <w:w w:val="100"/>
          <w:position w:val="0"/>
          <w:shd w:val="clear" w:color="auto" w:fill="auto"/>
          <w:lang w:val="en-US" w:eastAsia="en-US" w:bidi="en-US"/>
        </w:rPr>
        <w:t xml:space="preserve"> vii. 12) speaks of a dwarfish race of Troglodytes on the upper course of the Nile, who possessed horses and were in his opinion the Pyg</w:t>
        <w:softHyphen/>
        <w:t>mies of fable. But the best known of these African cave- dwellers were the inhabitants of the “Troglodyte country” on the coast of the Red Sea, who reached as far north as the Greek port of Berenice, and of whose strange and sav</w:t>
        <w:softHyphen/>
        <w:t>age customs an interesting account has been preserved by Diodorus and Photius from Agatharchides.@@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They were a pastoral people, living entirely on the flesh of their herds, or, in the season of fresh pasture, on mingled milk and blood. But they killed only old or sick cattle (as indeed they killed old men who could no longer follow the flock), and the butchers were called “ unclean ” ; nay, they gave the name of parent to no man, but only to the cattle of which they had their subsistence. This last point seems to be a confused indication of totemism. They went almost naked ; the women wore necklaces of shells as amulets. Marriage was unknown, except among the chiefs, —a fact which agrees with the prevalence of female kin</w:t>
        <w:softHyphen/>
        <w:t>ship in these regions in much later times. They practised circumcision or a mutilation of a more serious kind. The whole account, much of which must be here passed by, is one of the most curious pictures of savage life in ancient literature.</w:t>
      </w:r>
    </w:p>
    <w:p>
      <w:pPr>
        <w:pStyle w:val="Style8"/>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Biblical Horim, who inhabited Mount Seir before the Edom</w:t>
        <w:softHyphen/>
        <w:t>ites, bore a name which means cave-dwellers, and may probably have been a kindred people to the Troglodytes on the other side of the Red Sea. Jerome, on Obadiah 5, speaks of this region as con</w:t>
        <w:softHyphen/>
        <w:t>taining many cave-dwellings, and such habitations are still some</w:t>
        <w:softHyphen/>
        <w:t>times used on the borders of the Syro-Arabian desert.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TROGON, a word apparently first used as English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by Shaw (</w:t>
      </w:r>
      <w:r>
        <w:rPr>
          <w:i/>
          <w:iCs/>
          <w:color w:val="000000"/>
          <w:spacing w:val="0"/>
          <w:w w:val="100"/>
          <w:position w:val="0"/>
          <w:shd w:val="clear" w:color="auto" w:fill="auto"/>
          <w:lang w:val="en-US" w:eastAsia="en-US" w:bidi="en-US"/>
        </w:rPr>
        <w:t>Mus.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Leverianum,</w:t>
      </w:r>
      <w:r>
        <w:rPr>
          <w:color w:val="000000"/>
          <w:spacing w:val="0"/>
          <w:w w:val="100"/>
          <w:position w:val="0"/>
          <w:shd w:val="clear" w:color="auto" w:fill="auto"/>
          <w:lang w:val="en-US" w:eastAsia="en-US" w:bidi="en-US"/>
        </w:rPr>
        <w:t xml:space="preserve"> p. 177) in 1792, and now for many years accepted as the general name of certain birds forming the Family </w:t>
      </w:r>
      <w:r>
        <w:rPr>
          <w:i/>
          <w:iCs/>
          <w:color w:val="000000"/>
          <w:spacing w:val="0"/>
          <w:w w:val="100"/>
          <w:position w:val="0"/>
          <w:shd w:val="clear" w:color="auto" w:fill="auto"/>
          <w:lang w:val="fr-FR" w:eastAsia="fr-FR" w:bidi="fr-FR"/>
        </w:rPr>
        <w:t>Trogonidæ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modern ornithology, the species </w:t>
      </w:r>
      <w:r>
        <w:rPr>
          <w:i/>
          <w:iCs/>
          <w:color w:val="000000"/>
          <w:spacing w:val="0"/>
          <w:w w:val="100"/>
          <w:position w:val="0"/>
          <w:shd w:val="clear" w:color="auto" w:fill="auto"/>
          <w:lang w:val="en-US" w:eastAsia="en-US" w:bidi="en-US"/>
        </w:rPr>
        <w:t>Trogon curucui</w:t>
      </w:r>
      <w:r>
        <w:rPr>
          <w:color w:val="000000"/>
          <w:spacing w:val="0"/>
          <w:w w:val="100"/>
          <w:position w:val="0"/>
          <w:shd w:val="clear" w:color="auto" w:fill="auto"/>
          <w:lang w:val="en-US" w:eastAsia="en-US" w:bidi="en-US"/>
        </w:rPr>
        <w:t xml:space="preserve"> of </w:t>
      </w:r>
      <w:r>
        <w:rPr>
          <w:color w:val="000000"/>
          <w:spacing w:val="0"/>
          <w:w w:val="100"/>
          <w:position w:val="0"/>
          <w:shd w:val="clear" w:color="auto" w:fill="auto"/>
          <w:lang w:val="fr-FR" w:eastAsia="fr-FR" w:bidi="fr-FR"/>
        </w:rPr>
        <w:t xml:space="preserve">Linnæus </w:t>
      </w:r>
      <w:r>
        <w:rPr>
          <w:color w:val="000000"/>
          <w:spacing w:val="0"/>
          <w:w w:val="100"/>
          <w:position w:val="0"/>
          <w:shd w:val="clear" w:color="auto" w:fill="auto"/>
          <w:lang w:val="en-US" w:eastAsia="en-US" w:bidi="en-US"/>
        </w:rPr>
        <w:t xml:space="preserve">being its type. But, since doubts exist as to whether this is that which was subsequently called by </w:t>
      </w:r>
      <w:r>
        <w:rPr>
          <w:color w:val="000000"/>
          <w:spacing w:val="0"/>
          <w:w w:val="100"/>
          <w:position w:val="0"/>
          <w:shd w:val="clear" w:color="auto" w:fill="auto"/>
          <w:lang w:val="fr-FR" w:eastAsia="fr-FR" w:bidi="fr-FR"/>
        </w:rPr>
        <w:t xml:space="preserve">Vieillot </w:t>
      </w:r>
      <w:r>
        <w:rPr>
          <w:i/>
          <w:iCs/>
          <w:color w:val="000000"/>
          <w:spacing w:val="0"/>
          <w:w w:val="100"/>
          <w:position w:val="0"/>
          <w:shd w:val="clear" w:color="auto" w:fill="auto"/>
          <w:lang w:val="en-US" w:eastAsia="en-US" w:bidi="en-US"/>
        </w:rPr>
        <w:t xml:space="preserve">T. </w:t>
      </w:r>
      <w:r>
        <w:rPr>
          <w:i/>
          <w:iCs/>
          <w:color w:val="000000"/>
          <w:spacing w:val="0"/>
          <w:w w:val="100"/>
          <w:position w:val="0"/>
          <w:shd w:val="clear" w:color="auto" w:fill="auto"/>
          <w:lang w:val="la-001" w:eastAsia="la-001" w:bidi="la-001"/>
        </w:rPr>
        <w:t>collaris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or the </w:t>
      </w:r>
      <w:r>
        <w:rPr>
          <w:i/>
          <w:iCs/>
          <w:color w:val="000000"/>
          <w:spacing w:val="0"/>
          <w:w w:val="100"/>
          <w:position w:val="0"/>
          <w:shd w:val="clear" w:color="auto" w:fill="auto"/>
          <w:lang w:val="en-US" w:eastAsia="en-US" w:bidi="en-US"/>
        </w:rPr>
        <w:t xml:space="preserve">T. </w:t>
      </w:r>
      <w:r>
        <w:rPr>
          <w:i/>
          <w:iCs/>
          <w:color w:val="000000"/>
          <w:spacing w:val="0"/>
          <w:w w:val="100"/>
          <w:position w:val="0"/>
          <w:shd w:val="clear" w:color="auto" w:fill="auto"/>
          <w:lang w:val="la-001" w:eastAsia="la-001" w:bidi="la-001"/>
        </w:rPr>
        <w:t>melan</w:t>
        <w:softHyphen/>
        <w:t>urus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of Swainson, though evidence is in favour of the former (</w:t>
      </w:r>
      <w:r>
        <w:rPr>
          <w:i/>
          <w:iCs/>
          <w:color w:val="000000"/>
          <w:spacing w:val="0"/>
          <w:w w:val="100"/>
          <w:position w:val="0"/>
          <w:shd w:val="clear" w:color="auto" w:fill="auto"/>
          <w:lang w:val="en-US" w:eastAsia="en-US" w:bidi="en-US"/>
        </w:rPr>
        <w:t>cf.</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Cabanis, </w:t>
      </w:r>
      <w:r>
        <w:rPr>
          <w:i/>
          <w:iCs/>
          <w:color w:val="000000"/>
          <w:spacing w:val="0"/>
          <w:w w:val="100"/>
          <w:position w:val="0"/>
          <w:shd w:val="clear" w:color="auto" w:fill="auto"/>
          <w:lang w:val="fr-FR" w:eastAsia="fr-FR" w:bidi="fr-FR"/>
        </w:rPr>
        <w:t xml:space="preserve">Mus. </w:t>
      </w:r>
      <w:r>
        <w:rPr>
          <w:i/>
          <w:iCs/>
          <w:color w:val="000000"/>
          <w:spacing w:val="0"/>
          <w:w w:val="100"/>
          <w:position w:val="0"/>
          <w:shd w:val="clear" w:color="auto" w:fill="auto"/>
          <w:lang w:val="en-US" w:eastAsia="en-US" w:bidi="en-US"/>
        </w:rPr>
        <w:t>Heineanum,</w:t>
      </w:r>
      <w:r>
        <w:rPr>
          <w:color w:val="000000"/>
          <w:spacing w:val="0"/>
          <w:w w:val="100"/>
          <w:position w:val="0"/>
          <w:shd w:val="clear" w:color="auto" w:fill="auto"/>
          <w:lang w:val="en-US" w:eastAsia="en-US" w:bidi="en-US"/>
        </w:rPr>
        <w:t xml:space="preserve"> iv. p. 177, and Finsch, </w:t>
      </w:r>
      <w:r>
        <w:rPr>
          <w:i/>
          <w:iCs/>
          <w:color w:val="000000"/>
          <w:spacing w:val="0"/>
          <w:w w:val="100"/>
          <w:position w:val="0"/>
          <w:shd w:val="clear" w:color="auto" w:fill="auto"/>
          <w:lang w:val="en-US" w:eastAsia="en-US" w:bidi="en-US"/>
        </w:rPr>
        <w:t>Proc. Zool. Society,</w:t>
      </w:r>
      <w:r>
        <w:rPr>
          <w:color w:val="000000"/>
          <w:spacing w:val="0"/>
          <w:w w:val="100"/>
          <w:position w:val="0"/>
          <w:shd w:val="clear" w:color="auto" w:fill="auto"/>
          <w:lang w:val="en-US" w:eastAsia="en-US" w:bidi="en-US"/>
        </w:rPr>
        <w:t xml:space="preserve"> 1870, p. 559), several recent writers have dropped the </w:t>
      </w:r>
      <w:r>
        <w:rPr>
          <w:color w:val="000000"/>
          <w:spacing w:val="0"/>
          <w:w w:val="100"/>
          <w:position w:val="0"/>
          <w:shd w:val="clear" w:color="auto" w:fill="auto"/>
          <w:lang w:val="fr-FR" w:eastAsia="fr-FR" w:bidi="fr-FR"/>
        </w:rPr>
        <w:t xml:space="preserve">Linnæan </w:t>
      </w:r>
      <w:r>
        <w:rPr>
          <w:color w:val="000000"/>
          <w:spacing w:val="0"/>
          <w:w w:val="100"/>
          <w:position w:val="0"/>
          <w:shd w:val="clear" w:color="auto" w:fill="auto"/>
          <w:lang w:val="en-US" w:eastAsia="en-US" w:bidi="en-US"/>
        </w:rPr>
        <w:t>specific term.</w:t>
      </w:r>
    </w:p>
    <w:p>
      <w:pPr>
        <w:pStyle w:val="Style8"/>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Trogons are birds of moderate size : the smallest is hardly bigger than a Thrush and the largest less bulky than a Crow. In most of them the bill is very wide at the gape, which is invariably beset by recurved bristles. They seize most of their food, whether caterpillars or fruits, on the wing, though their alar power is not exceptionally great, their flight being described as short, rapid, and spasmodic. Their feet are weak and of a unique structure, the second toe, which in most birds is the inner anterior one, being re</w:t>
        <w:softHyphen/>
        <w:t>verted, and thus the Trogons stand alone, since in all other birds that have two toes before and two behind it is the outer toe that is turned backward. The plumage is very remarkable and charac</w:t>
        <w:softHyphen/>
        <w:t xml:space="preserve">teristic. There is not a species which has not beauty beyond most birds, and the glory of the group culminates in the </w:t>
      </w:r>
      <w:r>
        <w:rPr>
          <w:smallCaps/>
          <w:color w:val="000000"/>
          <w:spacing w:val="0"/>
          <w:w w:val="100"/>
          <w:position w:val="0"/>
          <w:sz w:val="18"/>
          <w:szCs w:val="18"/>
          <w:shd w:val="clear" w:color="auto" w:fill="auto"/>
          <w:lang w:val="en-US" w:eastAsia="en-US" w:bidi="en-US"/>
        </w:rPr>
        <w:t>Quezal (</w:t>
      </w:r>
      <w:r>
        <w:rPr>
          <w:rFonts w:ascii="Arial" w:eastAsia="Arial" w:hAnsi="Arial" w:cs="Arial"/>
          <w:i/>
          <w:iCs/>
          <w:color w:val="000000"/>
          <w:spacing w:val="0"/>
          <w:w w:val="100"/>
          <w:position w:val="0"/>
          <w:sz w:val="32"/>
          <w:szCs w:val="32"/>
          <w:shd w:val="clear" w:color="auto" w:fill="auto"/>
          <w:lang w:val="en-US" w:eastAsia="en-US" w:bidi="en-US"/>
        </w:rPr>
        <w:t xml:space="preserve">q.v. ). </w:t>
      </w:r>
      <w:r>
        <w:rPr>
          <w:color w:val="000000"/>
          <w:spacing w:val="0"/>
          <w:w w:val="100"/>
          <w:position w:val="0"/>
          <w:sz w:val="17"/>
          <w:szCs w:val="17"/>
          <w:shd w:val="clear" w:color="auto" w:fill="auto"/>
          <w:lang w:val="en-US" w:eastAsia="en-US" w:bidi="en-US"/>
        </w:rPr>
        <w:t>But in others golden green and steely blue, rich crimson @@</w:t>
      </w: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and tender</w:t>
      </w:r>
    </w:p>
    <w:p>
      <w:pPr>
        <w:pStyle w:val="Style8"/>
        <w:keepNext w:val="0"/>
        <w:keepLines w:val="0"/>
        <w:widowControl w:val="0"/>
        <w:shd w:val="clear" w:color="auto" w:fill="auto"/>
        <w:bidi w:val="0"/>
        <w:spacing w:line="168" w:lineRule="exact"/>
        <w:ind w:left="0" w:firstLine="360"/>
        <w:jc w:val="left"/>
        <w:rPr>
          <w:sz w:val="32"/>
          <w:szCs w:val="32"/>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See also Artemidorus in Strabo, xvi. 17, p. 785 </w:t>
      </w:r>
      <w:r>
        <w:rPr>
          <w:rFonts w:ascii="Arial" w:eastAsia="Arial" w:hAnsi="Arial" w:cs="Arial"/>
          <w:i/>
          <w:iCs/>
          <w:color w:val="000000"/>
          <w:spacing w:val="0"/>
          <w:w w:val="100"/>
          <w:position w:val="0"/>
          <w:sz w:val="32"/>
          <w:szCs w:val="32"/>
          <w:shd w:val="clear" w:color="auto" w:fill="auto"/>
          <w:lang w:val="en-US" w:eastAsia="en-US" w:bidi="en-US"/>
        </w:rPr>
        <w:t>sq.</w:t>
      </w:r>
    </w:p>
    <w:p>
      <w:pPr>
        <w:pStyle w:val="Style8"/>
        <w:keepNext w:val="0"/>
        <w:keepLines w:val="0"/>
        <w:widowControl w:val="0"/>
        <w:shd w:val="clear" w:color="auto" w:fill="auto"/>
        <w:bidi w:val="0"/>
        <w:spacing w:line="154"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vertAlign w:val="superscript"/>
          <w:lang w:val="en-US" w:eastAsia="en-US" w:bidi="en-US"/>
        </w:rPr>
        <w:t>@@@2</w:t>
      </w:r>
      <w:r>
        <w:rPr>
          <w:rFonts w:ascii="Arial" w:eastAsia="Arial" w:hAnsi="Arial" w:cs="Arial"/>
          <w:i/>
          <w:iCs/>
          <w:color w:val="000000"/>
          <w:spacing w:val="0"/>
          <w:w w:val="100"/>
          <w:position w:val="0"/>
          <w:sz w:val="32"/>
          <w:szCs w:val="32"/>
          <w:shd w:val="clear" w:color="auto" w:fill="auto"/>
          <w:lang w:val="en-US" w:eastAsia="en-US" w:bidi="en-US"/>
        </w:rPr>
        <w:t xml:space="preserve"> Τrogonem</w:t>
      </w:r>
      <w:r>
        <w:rPr>
          <w:color w:val="000000"/>
          <w:spacing w:val="0"/>
          <w:w w:val="100"/>
          <w:position w:val="0"/>
          <w:sz w:val="17"/>
          <w:szCs w:val="17"/>
          <w:shd w:val="clear" w:color="auto" w:fill="auto"/>
          <w:lang w:val="en-US" w:eastAsia="en-US" w:bidi="en-US"/>
        </w:rPr>
        <w:t xml:space="preserve"> (the oblique case) occurs in Pliny (</w:t>
      </w:r>
      <w:r>
        <w:rPr>
          <w:rFonts w:ascii="Arial" w:eastAsia="Arial" w:hAnsi="Arial" w:cs="Arial"/>
          <w:i/>
          <w:iCs/>
          <w:color w:val="000000"/>
          <w:spacing w:val="0"/>
          <w:w w:val="100"/>
          <w:position w:val="0"/>
          <w:sz w:val="32"/>
          <w:szCs w:val="32"/>
          <w:shd w:val="clear" w:color="auto" w:fill="auto"/>
          <w:lang w:val="en-US" w:eastAsia="en-US" w:bidi="en-US"/>
        </w:rPr>
        <w:t>Η. N.,</w:t>
      </w:r>
      <w:r>
        <w:rPr>
          <w:color w:val="000000"/>
          <w:spacing w:val="0"/>
          <w:w w:val="100"/>
          <w:position w:val="0"/>
          <w:sz w:val="17"/>
          <w:szCs w:val="17"/>
          <w:shd w:val="clear" w:color="auto" w:fill="auto"/>
          <w:lang w:val="en-US" w:eastAsia="en-US" w:bidi="en-US"/>
        </w:rPr>
        <w:t xml:space="preserve"> x. 16) as the name of a bird of which he knew nothing, save that it was mentioned by </w:t>
      </w:r>
      <w:r>
        <w:rPr>
          <w:color w:val="000000"/>
          <w:spacing w:val="0"/>
          <w:w w:val="100"/>
          <w:position w:val="0"/>
          <w:sz w:val="17"/>
          <w:szCs w:val="17"/>
          <w:shd w:val="clear" w:color="auto" w:fill="auto"/>
          <w:lang w:val="la-001" w:eastAsia="la-001" w:bidi="la-001"/>
        </w:rPr>
        <w:t xml:space="preserve">Hylas, </w:t>
      </w:r>
      <w:r>
        <w:rPr>
          <w:color w:val="000000"/>
          <w:spacing w:val="0"/>
          <w:w w:val="100"/>
          <w:position w:val="0"/>
          <w:sz w:val="17"/>
          <w:szCs w:val="17"/>
          <w:shd w:val="clear" w:color="auto" w:fill="auto"/>
          <w:lang w:val="en-US" w:eastAsia="en-US" w:bidi="en-US"/>
        </w:rPr>
        <w:t xml:space="preserve">an augur, whose work is lost ; but some would read </w:t>
      </w:r>
      <w:r>
        <w:rPr>
          <w:rFonts w:ascii="Arial" w:eastAsia="Arial" w:hAnsi="Arial" w:cs="Arial"/>
          <w:i/>
          <w:iCs/>
          <w:color w:val="000000"/>
          <w:spacing w:val="0"/>
          <w:w w:val="100"/>
          <w:position w:val="0"/>
          <w:sz w:val="32"/>
          <w:szCs w:val="32"/>
          <w:shd w:val="clear" w:color="auto" w:fill="auto"/>
          <w:lang w:val="la-001" w:eastAsia="la-001" w:bidi="la-001"/>
        </w:rPr>
        <w:t xml:space="preserve">Trygonem </w:t>
      </w:r>
      <w:r>
        <w:rPr>
          <w:color w:val="000000"/>
          <w:spacing w:val="0"/>
          <w:w w:val="100"/>
          <w:position w:val="0"/>
          <w:sz w:val="17"/>
          <w:szCs w:val="17"/>
          <w:shd w:val="clear" w:color="auto" w:fill="auto"/>
          <w:lang w:val="en-US" w:eastAsia="en-US" w:bidi="en-US"/>
        </w:rPr>
        <w:t xml:space="preserve">(Turtle-Dove). In 1752 </w:t>
      </w:r>
      <w:r>
        <w:rPr>
          <w:color w:val="000000"/>
          <w:spacing w:val="0"/>
          <w:w w:val="100"/>
          <w:position w:val="0"/>
          <w:sz w:val="17"/>
          <w:szCs w:val="17"/>
          <w:shd w:val="clear" w:color="auto" w:fill="auto"/>
          <w:lang w:val="de-DE" w:eastAsia="de-DE" w:bidi="de-DE"/>
        </w:rPr>
        <w:t>Möhring (</w:t>
      </w:r>
      <w:r>
        <w:rPr>
          <w:rFonts w:ascii="Arial" w:eastAsia="Arial" w:hAnsi="Arial" w:cs="Arial"/>
          <w:i/>
          <w:iCs/>
          <w:color w:val="000000"/>
          <w:spacing w:val="0"/>
          <w:w w:val="100"/>
          <w:position w:val="0"/>
          <w:sz w:val="32"/>
          <w:szCs w:val="32"/>
          <w:shd w:val="clear" w:color="auto" w:fill="auto"/>
          <w:lang w:val="en-US" w:eastAsia="en-US" w:bidi="en-US"/>
        </w:rPr>
        <w:t>Aν. Genera,</w:t>
      </w:r>
      <w:r>
        <w:rPr>
          <w:color w:val="000000"/>
          <w:spacing w:val="0"/>
          <w:w w:val="100"/>
          <w:position w:val="0"/>
          <w:sz w:val="17"/>
          <w:szCs w:val="17"/>
          <w:shd w:val="clear" w:color="auto" w:fill="auto"/>
          <w:lang w:val="en-US" w:eastAsia="en-US" w:bidi="en-US"/>
        </w:rPr>
        <w:t xml:space="preserve"> p. 85) applied the name to the “Curucui” (pronounced “Suruqua” </w:t>
      </w:r>
      <w:r>
        <w:rPr>
          <w:rFonts w:ascii="Arial" w:eastAsia="Arial" w:hAnsi="Arial" w:cs="Arial"/>
          <w:i/>
          <w:iCs/>
          <w:color w:val="000000"/>
          <w:spacing w:val="0"/>
          <w:w w:val="100"/>
          <w:position w:val="0"/>
          <w:sz w:val="32"/>
          <w:szCs w:val="32"/>
          <w:shd w:val="clear" w:color="auto" w:fill="auto"/>
          <w:lang w:val="en-US" w:eastAsia="en-US" w:bidi="en-US"/>
        </w:rPr>
        <w:t>fide</w:t>
      </w:r>
      <w:r>
        <w:rPr>
          <w:color w:val="000000"/>
          <w:spacing w:val="0"/>
          <w:w w:val="100"/>
          <w:position w:val="0"/>
          <w:sz w:val="17"/>
          <w:szCs w:val="17"/>
          <w:shd w:val="clear" w:color="auto" w:fill="auto"/>
          <w:lang w:val="en-US" w:eastAsia="en-US" w:bidi="en-US"/>
        </w:rPr>
        <w:t xml:space="preserve"> Bates, </w:t>
      </w:r>
      <w:r>
        <w:rPr>
          <w:rFonts w:ascii="Arial" w:eastAsia="Arial" w:hAnsi="Arial" w:cs="Arial"/>
          <w:i/>
          <w:iCs/>
          <w:color w:val="000000"/>
          <w:spacing w:val="0"/>
          <w:w w:val="100"/>
          <w:position w:val="0"/>
          <w:sz w:val="32"/>
          <w:szCs w:val="32"/>
          <w:shd w:val="clear" w:color="auto" w:fill="auto"/>
          <w:lang w:val="en-US" w:eastAsia="en-US" w:bidi="en-US"/>
        </w:rPr>
        <w:t>Nat. Amazons,</w:t>
      </w:r>
      <w:r>
        <w:rPr>
          <w:color w:val="000000"/>
          <w:spacing w:val="0"/>
          <w:w w:val="100"/>
          <w:position w:val="0"/>
          <w:sz w:val="17"/>
          <w:szCs w:val="17"/>
          <w:shd w:val="clear" w:color="auto" w:fill="auto"/>
          <w:lang w:val="en-US" w:eastAsia="en-US" w:bidi="en-US"/>
        </w:rPr>
        <w:t xml:space="preserve"> i. p. 254) of Marcgrave (</w:t>
      </w:r>
      <w:r>
        <w:rPr>
          <w:rFonts w:ascii="Arial" w:eastAsia="Arial" w:hAnsi="Arial" w:cs="Arial"/>
          <w:i/>
          <w:iCs/>
          <w:color w:val="000000"/>
          <w:spacing w:val="0"/>
          <w:w w:val="100"/>
          <w:position w:val="0"/>
          <w:sz w:val="32"/>
          <w:szCs w:val="32"/>
          <w:shd w:val="clear" w:color="auto" w:fill="auto"/>
          <w:lang w:val="en-US" w:eastAsia="en-US" w:bidi="en-US"/>
        </w:rPr>
        <w:t xml:space="preserve">Hist. Nat. </w:t>
      </w:r>
      <w:r>
        <w:rPr>
          <w:rFonts w:ascii="Arial" w:eastAsia="Arial" w:hAnsi="Arial" w:cs="Arial"/>
          <w:i/>
          <w:iCs/>
          <w:color w:val="000000"/>
          <w:spacing w:val="0"/>
          <w:w w:val="100"/>
          <w:position w:val="0"/>
          <w:sz w:val="32"/>
          <w:szCs w:val="32"/>
          <w:shd w:val="clear" w:color="auto" w:fill="auto"/>
          <w:lang w:val="fr-FR" w:eastAsia="fr-FR" w:bidi="fr-FR"/>
        </w:rPr>
        <w:t>Brasiliæ,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p. 211), who described and figured it in 1648 recognizably. In 1760 Brisson (</w:t>
      </w:r>
      <w:r>
        <w:rPr>
          <w:rFonts w:ascii="Arial" w:eastAsia="Arial" w:hAnsi="Arial" w:cs="Arial"/>
          <w:i/>
          <w:iCs/>
          <w:color w:val="000000"/>
          <w:spacing w:val="0"/>
          <w:w w:val="100"/>
          <w:position w:val="0"/>
          <w:sz w:val="32"/>
          <w:szCs w:val="32"/>
          <w:shd w:val="clear" w:color="auto" w:fill="auto"/>
          <w:lang w:val="fr-FR" w:eastAsia="fr-FR" w:bidi="fr-FR"/>
        </w:rPr>
        <w:t>Ornithologie,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iv. p. 164) adopted </w:t>
      </w:r>
      <w:r>
        <w:rPr>
          <w:rFonts w:ascii="Arial" w:eastAsia="Arial" w:hAnsi="Arial" w:cs="Arial"/>
          <w:i/>
          <w:iCs/>
          <w:color w:val="000000"/>
          <w:spacing w:val="0"/>
          <w:w w:val="100"/>
          <w:position w:val="0"/>
          <w:sz w:val="32"/>
          <w:szCs w:val="32"/>
          <w:shd w:val="clear" w:color="auto" w:fill="auto"/>
          <w:lang w:val="en-US" w:eastAsia="en-US" w:bidi="en-US"/>
        </w:rPr>
        <w:t>Trogon</w:t>
      </w:r>
      <w:r>
        <w:rPr>
          <w:color w:val="000000"/>
          <w:spacing w:val="0"/>
          <w:w w:val="100"/>
          <w:position w:val="0"/>
          <w:sz w:val="17"/>
          <w:szCs w:val="17"/>
          <w:shd w:val="clear" w:color="auto" w:fill="auto"/>
          <w:lang w:val="en-US" w:eastAsia="en-US" w:bidi="en-US"/>
        </w:rPr>
        <w:t xml:space="preserve"> as a generic term, and, </w:t>
      </w:r>
      <w:r>
        <w:rPr>
          <w:color w:val="000000"/>
          <w:spacing w:val="0"/>
          <w:w w:val="100"/>
          <w:position w:val="0"/>
          <w:sz w:val="17"/>
          <w:szCs w:val="17"/>
          <w:shd w:val="clear" w:color="auto" w:fill="auto"/>
          <w:lang w:val="fr-FR" w:eastAsia="fr-FR" w:bidi="fr-FR"/>
        </w:rPr>
        <w:t>Lin</w:t>
        <w:softHyphen/>
        <w:t xml:space="preserve">næus </w:t>
      </w:r>
      <w:r>
        <w:rPr>
          <w:color w:val="000000"/>
          <w:spacing w:val="0"/>
          <w:w w:val="100"/>
          <w:position w:val="0"/>
          <w:sz w:val="17"/>
          <w:szCs w:val="17"/>
          <w:shd w:val="clear" w:color="auto" w:fill="auto"/>
          <w:lang w:val="en-US" w:eastAsia="en-US" w:bidi="en-US"/>
        </w:rPr>
        <w:t>having followed his example, it has since been universally accepted.</w:t>
      </w:r>
    </w:p>
    <w:p>
      <w:pPr>
        <w:pStyle w:val="Style8"/>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Μ. Anatole Bogdanoff determined the red pigment of the feathers</w:t>
      </w:r>
    </w:p>
    <w:sectPr>
      <w:footnotePr>
        <w:pos w:val="pageBottom"/>
        <w:numFmt w:val="decimal"/>
        <w:numRestart w:val="continuous"/>
      </w:footnotePr>
      <w:pgSz w:w="12240" w:h="20160"/>
      <w:pgMar w:top="2711" w:left="1060" w:right="1027" w:bottom="25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8">
    <w:name w:val="Body text (2)"/>
    <w:basedOn w:val="Normal"/>
    <w:link w:val="CharStyle9"/>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