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crossed by four bridges, flows between embankments, and the narrow streets on the steep left bank are connected by stairs. Of the 12th-century cathedral only the porch and the nave of six bays remain, the choir and transept having been destroyed in 1793 ; but there is a 14th-century tower, with a fine stone steeple. The neighbouring cloister (13th century) is being restored. The abbot’s house ( 15th century) has a carved doorway and well-preserved windows; and some curious houses of the 12th, 13th, and 14th centuries still exist. Tulle possesses normal schools for male and female teachers, and is the headquarters of the Historical Society of Lower Limousin. The principal industry is the manufacture of firearms. The Government establishments employ from 1500 to 3000 workmen, and can turn out 70,000 guns annually. Manufactories for the variety of lace called “ tulle ” were first established here. There is a collection of the firearms of all nations. The population in 1886 was 10,635 (commune 16,275).</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Tulle </w:t>
      </w:r>
      <w:r>
        <w:rPr>
          <w:rFonts w:ascii="Arial" w:eastAsia="Arial" w:hAnsi="Arial" w:cs="Arial"/>
          <w:i/>
          <w:iCs/>
          <w:color w:val="000000"/>
          <w:spacing w:val="0"/>
          <w:w w:val="100"/>
          <w:position w:val="0"/>
          <w:sz w:val="32"/>
          <w:szCs w:val="32"/>
          <w:shd w:val="clear" w:color="auto" w:fill="auto"/>
          <w:lang w:val="la-001" w:eastAsia="la-001" w:bidi="la-001"/>
        </w:rPr>
        <w:t>(Tutela Lemovicum)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owed its importance in the Middle Ages to an abbey founded by St Martin, or, according to another authority, in the 7th century, which was raised to a bishopric in 1317. Mascaron was bishop in the 17th century. The town was taken by the English in 1346, and was subsequently ravaged by the Black Death. It was again conquered by the English in 1369 ; but, when the inhabitants succeeded in freeing themselves, they were exempted from all imposts by Charles V. The viscount of Turenne, leader of the Protestants, tried in vain to seize Tulle in 1577, but was successful in 1585.</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TULLE, a term restricted in England to a fine bobbin- net of silk, used for veils, scarves, millinery purposes, and trimmings of ladies’ dresses, &amp;c. The French used the word to mean all machine-made lace the basis of which is the intertwisted net-work made on the bobbin-net machine. The word is derived from the town of Tulle in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rance (see above).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TULLOCH,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(1823-1886), Scottish theologian, was born at Bridge of Earn, Perthshire, in 1823, went to school at Perth, and received his university education at St Andrews and Edinburgh. In 1845 he became minister of St Paul’s, Dundee, and in 1849 of Kettins, in Strath</w:t>
        <w:softHyphen/>
        <w:t xml:space="preserve">more, where he remained for six years. His literary gifts, shown in his contributions to various reviews, as well as his talent for society drew attention to him, and in 1854 he was appointed to the principalship of St Mary’s College, St Andrews. The appointment was immediately followed by the appearance of his Burnet prize essay on </w:t>
      </w:r>
      <w:r>
        <w:rPr>
          <w:i/>
          <w:iCs/>
          <w:color w:val="000000"/>
          <w:spacing w:val="0"/>
          <w:w w:val="100"/>
          <w:position w:val="0"/>
          <w:shd w:val="clear" w:color="auto" w:fill="auto"/>
          <w:lang w:val="en-US" w:eastAsia="en-US" w:bidi="en-US"/>
        </w:rPr>
        <w:t xml:space="preserve">Theism. </w:t>
      </w:r>
      <w:r>
        <w:rPr>
          <w:color w:val="000000"/>
          <w:spacing w:val="0"/>
          <w:w w:val="100"/>
          <w:position w:val="0"/>
          <w:shd w:val="clear" w:color="auto" w:fill="auto"/>
          <w:lang w:val="en-US" w:eastAsia="en-US" w:bidi="en-US"/>
        </w:rPr>
        <w:t>At St Andrews, where he held along with the principal</w:t>
        <w:softHyphen/>
        <w:t xml:space="preserve">ship the post of professor of systematic theology and apologetics, his work as a teacher was distinguished by several features which at that time were new. He lectured on comparative theology and treated doctrine historically, as being not a fixed product but a growth. From the first he secured the attachment and admiration of his students. In 1862 he was appointed one of the clerks of the General Assembly, and from that time forward he took a leading part in the councils of the Church of Scotland. In 1878 he was chosen moderator of the Assembly. No one, except perhaps Dr Robert Lee, has done more during the last generation to widen the national church. Two positions on which he repeatedly insisted in the Assembly have taken a firm hold of the mind of that church,—first, that it is of the essence of a church to be comprehensive of various views and tendencies, and that a national church especially should seek to represent all the elements of the life of the nation ; secondly, that subscription to a creed can bind no one to all its details, but only to the sum and substance, or the spirit, of the symbol. For three years before his death he was convener of the church interests committee of the Church of Scotland, which had to deal with a great agitation for disestablishment. He was also deeply interested in the reorganization of education in Scotland, both in school and university, and acted as one </w:t>
      </w:r>
      <w:r>
        <w:rPr>
          <w:color w:val="000000"/>
          <w:spacing w:val="0"/>
          <w:w w:val="100"/>
          <w:position w:val="0"/>
          <w:shd w:val="clear" w:color="auto" w:fill="auto"/>
          <w:lang w:val="en-US" w:eastAsia="en-US" w:bidi="en-US"/>
        </w:rPr>
        <w:t>of the temporary board which settled the primary school system under the Education Act of 1872. His death took place at Torquay on 13th February 1886.</w:t>
      </w:r>
    </w:p>
    <w:p>
      <w:pPr>
        <w:pStyle w:val="Style5"/>
        <w:keepNext w:val="0"/>
        <w:keepLines w:val="0"/>
        <w:widowControl w:val="0"/>
        <w:shd w:val="clear" w:color="auto" w:fill="auto"/>
        <w:bidi w:val="0"/>
        <w:spacing w:line="17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Tulloch’s best known works are collections of biographical sketches of the leaders of great movements in church history, such as the Reformation and Puritanism. His most important book, </w:t>
      </w:r>
      <w:r>
        <w:rPr>
          <w:rFonts w:ascii="Arial" w:eastAsia="Arial" w:hAnsi="Arial" w:cs="Arial"/>
          <w:i/>
          <w:iCs/>
          <w:color w:val="000000"/>
          <w:spacing w:val="0"/>
          <w:w w:val="100"/>
          <w:position w:val="0"/>
          <w:sz w:val="32"/>
          <w:szCs w:val="32"/>
          <w:shd w:val="clear" w:color="auto" w:fill="auto"/>
          <w:lang w:val="en-US" w:eastAsia="en-US" w:bidi="en-US"/>
        </w:rPr>
        <w:t>Rational Theology and Christian Philosophy (1872),</w:t>
      </w:r>
      <w:r>
        <w:rPr>
          <w:color w:val="000000"/>
          <w:spacing w:val="0"/>
          <w:w w:val="100"/>
          <w:position w:val="0"/>
          <w:sz w:val="17"/>
          <w:szCs w:val="17"/>
          <w:shd w:val="clear" w:color="auto" w:fill="auto"/>
          <w:lang w:val="en-US" w:eastAsia="en-US" w:bidi="en-US"/>
        </w:rPr>
        <w:t xml:space="preserve"> is one in which the Cambridge Platonists and other leaders of dispassionate thought in the 17th century are similarly treated. He delivered the second series of the Croall lectures, on the </w:t>
      </w:r>
      <w:r>
        <w:rPr>
          <w:rFonts w:ascii="Arial" w:eastAsia="Arial" w:hAnsi="Arial" w:cs="Arial"/>
          <w:i/>
          <w:iCs/>
          <w:color w:val="000000"/>
          <w:spacing w:val="0"/>
          <w:w w:val="100"/>
          <w:position w:val="0"/>
          <w:sz w:val="32"/>
          <w:szCs w:val="32"/>
          <w:shd w:val="clear" w:color="auto" w:fill="auto"/>
          <w:lang w:val="en-US" w:eastAsia="en-US" w:bidi="en-US"/>
        </w:rPr>
        <w:t>Doctrine of Sin,</w:t>
      </w:r>
      <w:r>
        <w:rPr>
          <w:color w:val="000000"/>
          <w:spacing w:val="0"/>
          <w:w w:val="100"/>
          <w:position w:val="0"/>
          <w:sz w:val="17"/>
          <w:szCs w:val="17"/>
          <w:shd w:val="clear" w:color="auto" w:fill="auto"/>
          <w:lang w:val="en-US" w:eastAsia="en-US" w:bidi="en-US"/>
        </w:rPr>
        <w:t xml:space="preserve"> which were afterwards published. He also published a small work, </w:t>
      </w:r>
      <w:r>
        <w:rPr>
          <w:rFonts w:ascii="Arial" w:eastAsia="Arial" w:hAnsi="Arial" w:cs="Arial"/>
          <w:i/>
          <w:iCs/>
          <w:color w:val="000000"/>
          <w:spacing w:val="0"/>
          <w:w w:val="100"/>
          <w:position w:val="0"/>
          <w:sz w:val="32"/>
          <w:szCs w:val="32"/>
          <w:shd w:val="clear" w:color="auto" w:fill="auto"/>
          <w:lang w:val="en-US" w:eastAsia="en-US" w:bidi="en-US"/>
        </w:rPr>
        <w:t>The Christ of the Gospels and the Christ of History,</w:t>
      </w:r>
      <w:r>
        <w:rPr>
          <w:color w:val="000000"/>
          <w:spacing w:val="0"/>
          <w:w w:val="100"/>
          <w:position w:val="0"/>
          <w:sz w:val="17"/>
          <w:szCs w:val="17"/>
          <w:shd w:val="clear" w:color="auto" w:fill="auto"/>
          <w:lang w:val="en-US" w:eastAsia="en-US" w:bidi="en-US"/>
        </w:rPr>
        <w:t xml:space="preserve"> in which the views of Renan on the gospel history were dealt with ; a monograph on </w:t>
      </w:r>
      <w:r>
        <w:rPr>
          <w:rFonts w:ascii="Arial" w:eastAsia="Arial" w:hAnsi="Arial" w:cs="Arial"/>
          <w:i/>
          <w:iCs/>
          <w:color w:val="000000"/>
          <w:spacing w:val="0"/>
          <w:w w:val="100"/>
          <w:position w:val="0"/>
          <w:sz w:val="32"/>
          <w:szCs w:val="32"/>
          <w:shd w:val="clear" w:color="auto" w:fill="auto"/>
          <w:lang w:val="en-US" w:eastAsia="en-US" w:bidi="en-US"/>
        </w:rPr>
        <w:t>Pascal</w:t>
      </w:r>
      <w:r>
        <w:rPr>
          <w:color w:val="000000"/>
          <w:spacing w:val="0"/>
          <w:w w:val="100"/>
          <w:position w:val="0"/>
          <w:sz w:val="17"/>
          <w:szCs w:val="17"/>
          <w:shd w:val="clear" w:color="auto" w:fill="auto"/>
          <w:lang w:val="en-US" w:eastAsia="en-US" w:bidi="en-US"/>
        </w:rPr>
        <w:t xml:space="preserve"> for Blackwood’s Foreign Classics series ; and a little work, </w:t>
      </w:r>
      <w:r>
        <w:rPr>
          <w:rFonts w:ascii="Arial" w:eastAsia="Arial" w:hAnsi="Arial" w:cs="Arial"/>
          <w:i/>
          <w:iCs/>
          <w:color w:val="000000"/>
          <w:spacing w:val="0"/>
          <w:w w:val="100"/>
          <w:position w:val="0"/>
          <w:sz w:val="32"/>
          <w:szCs w:val="32"/>
          <w:shd w:val="clear" w:color="auto" w:fill="auto"/>
          <w:lang w:val="en-US" w:eastAsia="en-US" w:bidi="en-US"/>
        </w:rPr>
        <w:t>Beginning Life,</w:t>
      </w:r>
      <w:r>
        <w:rPr>
          <w:color w:val="000000"/>
          <w:spacing w:val="0"/>
          <w:w w:val="100"/>
          <w:position w:val="0"/>
          <w:sz w:val="17"/>
          <w:szCs w:val="17"/>
          <w:shd w:val="clear" w:color="auto" w:fill="auto"/>
          <w:lang w:val="en-US" w:eastAsia="en-US" w:bidi="en-US"/>
        </w:rPr>
        <w:t xml:space="preserve"> addressed to young men, written at an earlier period. A </w:t>
      </w:r>
      <w:r>
        <w:rPr>
          <w:rFonts w:ascii="Arial" w:eastAsia="Arial" w:hAnsi="Arial" w:cs="Arial"/>
          <w:i/>
          <w:iCs/>
          <w:color w:val="000000"/>
          <w:spacing w:val="0"/>
          <w:w w:val="100"/>
          <w:position w:val="0"/>
          <w:sz w:val="32"/>
          <w:szCs w:val="32"/>
          <w:shd w:val="clear" w:color="auto" w:fill="auto"/>
          <w:lang w:val="en-US" w:eastAsia="en-US" w:bidi="en-US"/>
        </w:rPr>
        <w:t xml:space="preserve">Life </w:t>
      </w:r>
      <w:r>
        <w:rPr>
          <w:color w:val="000000"/>
          <w:spacing w:val="0"/>
          <w:w w:val="100"/>
          <w:position w:val="0"/>
          <w:sz w:val="17"/>
          <w:szCs w:val="17"/>
          <w:shd w:val="clear" w:color="auto" w:fill="auto"/>
          <w:lang w:val="en-US" w:eastAsia="en-US" w:bidi="en-US"/>
        </w:rPr>
        <w:t>of Tulloch by Mrs Oliphant is in preparation.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la-001" w:eastAsia="la-001" w:bidi="la-001"/>
        </w:rPr>
        <w:t xml:space="preserve">TULLUS HOSTILIUS, </w:t>
      </w:r>
      <w:r>
        <w:rPr>
          <w:color w:val="000000"/>
          <w:spacing w:val="0"/>
          <w:w w:val="100"/>
          <w:position w:val="0"/>
          <w:shd w:val="clear" w:color="auto" w:fill="auto"/>
          <w:lang w:val="en-US" w:eastAsia="en-US" w:bidi="en-US"/>
        </w:rPr>
        <w:t xml:space="preserve">third legendary king of Rome, is represented as having reigned for thirty-two years (670-638 B.c.). His successful wars with Alba, </w:t>
      </w:r>
      <w:r>
        <w:rPr>
          <w:color w:val="000000"/>
          <w:spacing w:val="0"/>
          <w:w w:val="100"/>
          <w:position w:val="0"/>
          <w:shd w:val="clear" w:color="auto" w:fill="auto"/>
          <w:lang w:val="fr-FR" w:eastAsia="fr-FR" w:bidi="fr-FR"/>
        </w:rPr>
        <w:t xml:space="preserve">Fidenæ, </w:t>
      </w:r>
      <w:r>
        <w:rPr>
          <w:color w:val="000000"/>
          <w:spacing w:val="0"/>
          <w:w w:val="100"/>
          <w:position w:val="0"/>
          <w:shd w:val="clear" w:color="auto" w:fill="auto"/>
          <w:lang w:val="en-US" w:eastAsia="en-US" w:bidi="en-US"/>
        </w:rPr>
        <w:t xml:space="preserve">and Veii shadow forth the earlier conquests of Latian territory and the first extension of the Roman domain beyond the walls of Rome. See </w:t>
      </w:r>
      <w:r>
        <w:rPr>
          <w:smallCaps/>
          <w:color w:val="000000"/>
          <w:spacing w:val="0"/>
          <w:w w:val="100"/>
          <w:position w:val="0"/>
          <w:shd w:val="clear" w:color="auto" w:fill="auto"/>
          <w:lang w:val="en-US" w:eastAsia="en-US" w:bidi="en-US"/>
        </w:rPr>
        <w:t>Rome,</w:t>
      </w:r>
      <w:r>
        <w:rPr>
          <w:color w:val="000000"/>
          <w:spacing w:val="0"/>
          <w:w w:val="100"/>
          <w:position w:val="0"/>
          <w:shd w:val="clear" w:color="auto" w:fill="auto"/>
          <w:lang w:val="en-US" w:eastAsia="en-US" w:bidi="en-US"/>
        </w:rPr>
        <w:t xml:space="preserve"> vol. xx. p. 733.</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TUMKUR, or </w:t>
      </w:r>
      <w:r>
        <w:rPr>
          <w:smallCaps/>
          <w:color w:val="000000"/>
          <w:spacing w:val="0"/>
          <w:w w:val="100"/>
          <w:position w:val="0"/>
          <w:shd w:val="clear" w:color="auto" w:fill="auto"/>
          <w:lang w:val="en-US" w:eastAsia="en-US" w:bidi="en-US"/>
        </w:rPr>
        <w:t>Toomkoor,</w:t>
      </w:r>
      <w:r>
        <w:rPr>
          <w:color w:val="000000"/>
          <w:spacing w:val="0"/>
          <w:w w:val="100"/>
          <w:position w:val="0"/>
          <w:shd w:val="clear" w:color="auto" w:fill="auto"/>
          <w:lang w:val="en-US" w:eastAsia="en-US" w:bidi="en-US"/>
        </w:rPr>
        <w:t xml:space="preserve"> a district of India, in the west of the Nandidrúg division of Mysore, situated between 12° 43' and 14° 10' N. lat. and 76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10' and 77° 30' E. long., with an area of 3420 square miles. It is bounded on the north by the Bellary district, on the east by Kolar and Bangalore, on the south by Mysore, and on the west by Chitaldrúg and Hassan. Tumkur consists chiefly of elevated land intersected by river valleys. A range of hills rising to nearly 4000 feet crosses it from north to south, and forms the water-parting between the systems of the Krishna and the </w:t>
      </w:r>
      <w:r>
        <w:rPr>
          <w:color w:val="000000"/>
          <w:spacing w:val="0"/>
          <w:w w:val="100"/>
          <w:position w:val="0"/>
          <w:shd w:val="clear" w:color="auto" w:fill="auto"/>
          <w:lang w:val="fr-FR" w:eastAsia="fr-FR" w:bidi="fr-FR"/>
        </w:rPr>
        <w:t>K</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veri. </w:t>
      </w:r>
      <w:r>
        <w:rPr>
          <w:color w:val="000000"/>
          <w:spacing w:val="0"/>
          <w:w w:val="100"/>
          <w:position w:val="0"/>
          <w:shd w:val="clear" w:color="auto" w:fill="auto"/>
          <w:lang w:val="en-US" w:eastAsia="en-US" w:bidi="en-US"/>
        </w:rPr>
        <w:t>The principal streams are the Jayamangala and the Shimsha. The mineral wealth of Tumkur is con</w:t>
        <w:softHyphen/>
        <w:t xml:space="preserve">siderable : iron is obtained in large quantities from the hill sides ; and excellent building stone is quarried. The slopes of the </w:t>
      </w:r>
      <w:r>
        <w:rPr>
          <w:color w:val="000000"/>
          <w:spacing w:val="0"/>
          <w:w w:val="100"/>
          <w:position w:val="0"/>
          <w:shd w:val="clear" w:color="auto" w:fill="auto"/>
          <w:lang w:val="fr-FR" w:eastAsia="fr-FR" w:bidi="fr-FR"/>
        </w:rPr>
        <w:t>Devar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y-durga </w:t>
      </w:r>
      <w:r>
        <w:rPr>
          <w:color w:val="000000"/>
          <w:spacing w:val="0"/>
          <w:w w:val="100"/>
          <w:position w:val="0"/>
          <w:shd w:val="clear" w:color="auto" w:fill="auto"/>
          <w:lang w:val="en-US" w:eastAsia="en-US" w:bidi="en-US"/>
        </w:rPr>
        <w:t>Hills, a tract of 18 square miles, are clothed with forests, in which large game are numerous, including tigers, leopards, bears, and wild hogs. The climate of Tumkur is generally considered as equable and healthy ; the average annual rainfall amounts to nearly 33 inches. The Mysore State Railway enters the district at the south-east corner and traverses it to the west.</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1881 the population of Tumkur numbered 413,183 (males 203,253, females 209,930), embracing 395,443 Hindus, 17,130 Mohammedans, and 603 Christians. Tumkur town, situated at the base of the </w:t>
      </w:r>
      <w:r>
        <w:rPr>
          <w:color w:val="000000"/>
          <w:spacing w:val="0"/>
          <w:w w:val="100"/>
          <w:position w:val="0"/>
          <w:sz w:val="17"/>
          <w:szCs w:val="17"/>
          <w:shd w:val="clear" w:color="auto" w:fill="auto"/>
          <w:lang w:val="fr-FR" w:eastAsia="fr-FR" w:bidi="fr-FR"/>
        </w:rPr>
        <w:t>Devar</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y-durga </w:t>
      </w:r>
      <w:r>
        <w:rPr>
          <w:color w:val="000000"/>
          <w:spacing w:val="0"/>
          <w:w w:val="100"/>
          <w:position w:val="0"/>
          <w:sz w:val="17"/>
          <w:szCs w:val="17"/>
          <w:shd w:val="clear" w:color="auto" w:fill="auto"/>
          <w:lang w:val="en-US" w:eastAsia="en-US" w:bidi="en-US"/>
        </w:rPr>
        <w:t xml:space="preserve">Hills, 43 miles north-west of Bangalore, with a population of 9909, is the administrative headquarters. The cultivated products consist chiefly of </w:t>
      </w:r>
      <w:r>
        <w:rPr>
          <w:rFonts w:ascii="Arial" w:eastAsia="Arial" w:hAnsi="Arial" w:cs="Arial"/>
          <w:i/>
          <w:iCs/>
          <w:color w:val="000000"/>
          <w:spacing w:val="0"/>
          <w:w w:val="100"/>
          <w:position w:val="0"/>
          <w:sz w:val="32"/>
          <w:szCs w:val="32"/>
          <w:shd w:val="clear" w:color="auto" w:fill="auto"/>
          <w:lang w:val="fr-FR" w:eastAsia="fr-FR" w:bidi="fr-FR"/>
        </w:rPr>
        <w:t>r</w:t>
      </w:r>
      <w:r>
        <w:rPr>
          <w:rFonts w:ascii="Arial" w:eastAsia="Arial" w:hAnsi="Arial" w:cs="Arial"/>
          <w:i/>
          <w:iCs/>
          <w:color w:val="000000"/>
          <w:spacing w:val="0"/>
          <w:w w:val="100"/>
          <w:position w:val="0"/>
          <w:sz w:val="32"/>
          <w:szCs w:val="32"/>
          <w:shd w:val="clear" w:color="auto" w:fill="auto"/>
          <w:lang w:val="en-US" w:eastAsia="en-US" w:bidi="en-US"/>
        </w:rPr>
        <w:t>á</w:t>
      </w:r>
      <w:r>
        <w:rPr>
          <w:rFonts w:ascii="Arial" w:eastAsia="Arial" w:hAnsi="Arial" w:cs="Arial"/>
          <w:i/>
          <w:iCs/>
          <w:color w:val="000000"/>
          <w:spacing w:val="0"/>
          <w:w w:val="100"/>
          <w:position w:val="0"/>
          <w:sz w:val="32"/>
          <w:szCs w:val="32"/>
          <w:shd w:val="clear" w:color="auto" w:fill="auto"/>
          <w:lang w:val="fr-FR" w:eastAsia="fr-FR" w:bidi="fr-FR"/>
        </w:rPr>
        <w:t>gi,</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millet, wheat, sugar</w:t>
        <w:softHyphen/>
        <w:t xml:space="preserve">cane, various pulses, and oil seeds. Of the total area 745 square miles are cultivated and 1544 cultivable. The chief industries are the making of coarse cotton cloths, woollen blankets, and ropes. The exports comprise </w:t>
      </w:r>
      <w:r>
        <w:rPr>
          <w:i/>
          <w:iCs/>
          <w:color w:val="000000"/>
          <w:spacing w:val="0"/>
          <w:w w:val="100"/>
          <w:position w:val="0"/>
          <w:sz w:val="17"/>
          <w:szCs w:val="17"/>
          <w:shd w:val="clear" w:color="auto" w:fill="auto"/>
          <w:lang w:val="fr-FR" w:eastAsia="fr-FR" w:bidi="fr-FR"/>
        </w:rPr>
        <w:t>r</w:t>
      </w:r>
      <w:r>
        <w:rPr>
          <w:i/>
          <w:iCs/>
          <w:color w:val="000000"/>
          <w:spacing w:val="0"/>
          <w:w w:val="100"/>
          <w:position w:val="0"/>
          <w:sz w:val="17"/>
          <w:szCs w:val="17"/>
          <w:shd w:val="clear" w:color="auto" w:fill="auto"/>
          <w:lang w:val="en-US" w:eastAsia="en-US" w:bidi="en-US"/>
        </w:rPr>
        <w:t>ág</w:t>
      </w:r>
      <w:r>
        <w:rPr>
          <w:i/>
          <w:iCs/>
          <w:color w:val="000000"/>
          <w:spacing w:val="0"/>
          <w:w w:val="100"/>
          <w:position w:val="0"/>
          <w:sz w:val="17"/>
          <w:szCs w:val="17"/>
          <w:shd w:val="clear" w:color="auto" w:fill="auto"/>
          <w:lang w:val="fr-FR" w:eastAsia="fr-FR" w:bidi="fr-FR"/>
        </w:rPr>
        <w:t>i</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unhusked rice, cocoa-nuts, areca-nuts, earth salt, pulses, and vegetables ; the imports include European piece goods, rice, spices, cotton, &amp;c.</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history of Tumkur is common to the rest of Mysore. After the assumption of the administration of Mysore by the British in 1832 the district received its present name and limits.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TUMOUR. See </w:t>
      </w:r>
      <w:r>
        <w:rPr>
          <w:smallCaps/>
          <w:color w:val="000000"/>
          <w:spacing w:val="0"/>
          <w:w w:val="100"/>
          <w:position w:val="0"/>
          <w:shd w:val="clear" w:color="auto" w:fill="auto"/>
          <w:lang w:val="en-US" w:eastAsia="en-US" w:bidi="en-US"/>
        </w:rPr>
        <w:t>Pathology,</w:t>
      </w:r>
      <w:r>
        <w:rPr>
          <w:color w:val="000000"/>
          <w:spacing w:val="0"/>
          <w:w w:val="100"/>
          <w:position w:val="0"/>
          <w:shd w:val="clear" w:color="auto" w:fill="auto"/>
          <w:lang w:val="en-US" w:eastAsia="en-US" w:bidi="en-US"/>
        </w:rPr>
        <w:t xml:space="preserve"> vol. xviii. p. 367, and </w:t>
      </w:r>
      <w:r>
        <w:rPr>
          <w:smallCaps/>
          <w:color w:val="000000"/>
          <w:spacing w:val="0"/>
          <w:w w:val="100"/>
          <w:position w:val="0"/>
          <w:shd w:val="clear" w:color="auto" w:fill="auto"/>
          <w:lang w:val="en-US" w:eastAsia="en-US" w:bidi="en-US"/>
        </w:rPr>
        <w:t>Surgery,</w:t>
      </w:r>
      <w:r>
        <w:rPr>
          <w:color w:val="000000"/>
          <w:spacing w:val="0"/>
          <w:w w:val="100"/>
          <w:position w:val="0"/>
          <w:shd w:val="clear" w:color="auto" w:fill="auto"/>
          <w:lang w:val="en-US" w:eastAsia="en-US" w:bidi="en-US"/>
        </w:rPr>
        <w:t xml:space="preserve"> vol. xxii. p. 687.</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TUMULUS. See </w:t>
      </w:r>
      <w:r>
        <w:rPr>
          <w:smallCaps/>
          <w:color w:val="000000"/>
          <w:spacing w:val="0"/>
          <w:w w:val="100"/>
          <w:position w:val="0"/>
          <w:shd w:val="clear" w:color="auto" w:fill="auto"/>
          <w:lang w:val="en-US" w:eastAsia="en-US" w:bidi="en-US"/>
        </w:rPr>
        <w:t>Architecture,</w:t>
      </w:r>
      <w:r>
        <w:rPr>
          <w:color w:val="000000"/>
          <w:spacing w:val="0"/>
          <w:w w:val="100"/>
          <w:position w:val="0"/>
          <w:shd w:val="clear" w:color="auto" w:fill="auto"/>
          <w:lang w:val="en-US" w:eastAsia="en-US" w:bidi="en-US"/>
        </w:rPr>
        <w:t xml:space="preserve"> vol. ii. p. 384, and </w:t>
      </w:r>
      <w:r>
        <w:rPr>
          <w:smallCaps/>
          <w:color w:val="000000"/>
          <w:spacing w:val="0"/>
          <w:w w:val="100"/>
          <w:position w:val="0"/>
          <w:shd w:val="clear" w:color="auto" w:fill="auto"/>
          <w:lang w:val="en-US" w:eastAsia="en-US" w:bidi="en-US"/>
        </w:rPr>
        <w:t>Barrows,</w:t>
      </w:r>
      <w:r>
        <w:rPr>
          <w:color w:val="000000"/>
          <w:spacing w:val="0"/>
          <w:w w:val="100"/>
          <w:position w:val="0"/>
          <w:shd w:val="clear" w:color="auto" w:fill="auto"/>
          <w:lang w:val="en-US" w:eastAsia="en-US" w:bidi="en-US"/>
        </w:rPr>
        <w:t xml:space="preserve"> vol. iii. 397.</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TUNBRIDGE, or </w:t>
      </w:r>
      <w:r>
        <w:rPr>
          <w:smallCaps/>
          <w:color w:val="000000"/>
          <w:spacing w:val="0"/>
          <w:w w:val="100"/>
          <w:position w:val="0"/>
          <w:shd w:val="clear" w:color="auto" w:fill="auto"/>
          <w:lang w:val="en-US" w:eastAsia="en-US" w:bidi="en-US"/>
        </w:rPr>
        <w:t>Tonbridge,</w:t>
      </w:r>
      <w:r>
        <w:rPr>
          <w:color w:val="000000"/>
          <w:spacing w:val="0"/>
          <w:w w:val="100"/>
          <w:position w:val="0"/>
          <w:shd w:val="clear" w:color="auto" w:fill="auto"/>
          <w:lang w:val="en-US" w:eastAsia="en-US" w:bidi="en-US"/>
        </w:rPr>
        <w:t xml:space="preserve"> a town of Kent, England, is situated on rising ground above the Medway, and on the South-Eastern Railway, 41 miles (by rail) south-east of London and 33 north-west of Hastings. The Medway is crossed by a stone bridge, erected in 1775. The town consists chiefly of one long main street and a large number of suburban villas. The church of St Peter and St Paul, chiefly Decorated and Perpendicular with some portions of an earlier date, has lately been restored. The grammar school, founded by Sir Andrew Judd, an alderman of London, in the 1st year of Edward VI., was rebuilt in 1865, remodelled in 1880, and extended in 1887. Among other public buildings are the town hall and market house, the</w:t>
      </w:r>
    </w:p>
    <w:sectPr>
      <w:footnotePr>
        <w:pos w:val="pageBottom"/>
        <w:numFmt w:val="decimal"/>
        <w:numRestart w:val="continuous"/>
      </w:footnotePr>
      <w:pgSz w:w="12240" w:h="20160"/>
      <w:pgMar w:top="2628" w:left="1042" w:right="1017" w:bottom="2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2)"/>
    <w:basedOn w:val="Normal"/>
    <w:link w:val="CharStyle6"/>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