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4"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This sub-order includes a single family, the </w:t>
      </w:r>
      <w:r>
        <w:rPr>
          <w:smallCaps/>
          <w:color w:val="000000"/>
          <w:spacing w:val="0"/>
          <w:w w:val="100"/>
          <w:position w:val="0"/>
          <w:sz w:val="18"/>
          <w:szCs w:val="18"/>
          <w:shd w:val="clear" w:color="auto" w:fill="auto"/>
          <w:lang w:val="fr-FR" w:eastAsia="fr-FR" w:bidi="fr-FR"/>
        </w:rPr>
        <w:t>Pyrosomidæ,</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con</w:t>
        <w:softHyphen/>
        <w:t xml:space="preserve">taining one well-marked genus, </w:t>
      </w:r>
      <w:r>
        <w:rPr>
          <w:rFonts w:ascii="Arial" w:eastAsia="Arial" w:hAnsi="Arial" w:cs="Arial"/>
          <w:i/>
          <w:iCs/>
          <w:color w:val="000000"/>
          <w:spacing w:val="0"/>
          <w:w w:val="100"/>
          <w:position w:val="0"/>
          <w:sz w:val="32"/>
          <w:szCs w:val="32"/>
          <w:shd w:val="clear" w:color="auto" w:fill="auto"/>
          <w:lang w:val="en-US" w:eastAsia="en-US" w:bidi="en-US"/>
        </w:rPr>
        <w:t>Pyrosoma</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fr-FR" w:eastAsia="fr-FR" w:bidi="fr-FR"/>
        </w:rPr>
        <w:t xml:space="preserve">(Péron), </w:t>
      </w:r>
      <w:r>
        <w:rPr>
          <w:color w:val="000000"/>
          <w:spacing w:val="0"/>
          <w:w w:val="100"/>
          <w:position w:val="0"/>
          <w:sz w:val="17"/>
          <w:szCs w:val="17"/>
          <w:shd w:val="clear" w:color="auto" w:fill="auto"/>
          <w:lang w:val="en-US" w:eastAsia="en-US" w:bidi="en-US"/>
        </w:rPr>
        <w:t xml:space="preserve">with several species. They are found swimming near the surface of the sea, chiefly in tropical latitudes, and are brilliantly phosphorescent. A fully developed </w:t>
      </w:r>
      <w:r>
        <w:rPr>
          <w:rFonts w:ascii="Arial" w:eastAsia="Arial" w:hAnsi="Arial" w:cs="Arial"/>
          <w:i/>
          <w:iCs/>
          <w:color w:val="000000"/>
          <w:spacing w:val="0"/>
          <w:w w:val="100"/>
          <w:position w:val="0"/>
          <w:sz w:val="32"/>
          <w:szCs w:val="32"/>
          <w:shd w:val="clear" w:color="auto" w:fill="auto"/>
          <w:lang w:val="en-US" w:eastAsia="en-US" w:bidi="en-US"/>
        </w:rPr>
        <w:t>Pyrosoma</w:t>
      </w:r>
      <w:r>
        <w:rPr>
          <w:color w:val="000000"/>
          <w:spacing w:val="0"/>
          <w:w w:val="100"/>
          <w:position w:val="0"/>
          <w:sz w:val="17"/>
          <w:szCs w:val="17"/>
          <w:shd w:val="clear" w:color="auto" w:fill="auto"/>
          <w:lang w:val="en-US" w:eastAsia="en-US" w:bidi="en-US"/>
        </w:rPr>
        <w:t xml:space="preserve"> colony may be from an inch or two to upwards of four feet in length. The shape of the colony is seen in fig. 20. It tapers slightly towards the closed end, which is rounded. The opening at the opposite end is reduced in size by the presence of a membranous prolongation of the common test (fig. 20, B). The branchial apertures of the ascidiozooids are placed upon short </w:t>
      </w:r>
      <w:r>
        <w:rPr>
          <w:color w:val="000000"/>
          <w:spacing w:val="0"/>
          <w:w w:val="100"/>
          <w:position w:val="0"/>
          <w:sz w:val="17"/>
          <w:szCs w:val="17"/>
          <w:shd w:val="clear" w:color="auto" w:fill="auto"/>
          <w:lang w:val="fr-FR" w:eastAsia="fr-FR" w:bidi="fr-FR"/>
        </w:rPr>
        <w:t xml:space="preserve">papillæ </w:t>
      </w:r>
      <w:r>
        <w:rPr>
          <w:color w:val="000000"/>
          <w:spacing w:val="0"/>
          <w:w w:val="100"/>
          <w:position w:val="0"/>
          <w:sz w:val="17"/>
          <w:szCs w:val="17"/>
          <w:shd w:val="clear" w:color="auto" w:fill="auto"/>
          <w:lang w:val="en-US" w:eastAsia="en-US" w:bidi="en-US"/>
        </w:rPr>
        <w:t>projecting from the general surface, and most of the ascidio</w:t>
        <w:softHyphen/>
        <w:t xml:space="preserve">zooids have long conical processes of the test projecting outwards beyond their branchial apertures (figs. 20, 21, and 22). There is only a single layer of ascidiozooids in the </w:t>
      </w:r>
      <w:r>
        <w:rPr>
          <w:rFonts w:ascii="Arial" w:eastAsia="Arial" w:hAnsi="Arial" w:cs="Arial"/>
          <w:i/>
          <w:iCs/>
          <w:color w:val="000000"/>
          <w:spacing w:val="0"/>
          <w:w w:val="100"/>
          <w:position w:val="0"/>
          <w:sz w:val="32"/>
          <w:szCs w:val="32"/>
          <w:shd w:val="clear" w:color="auto" w:fill="auto"/>
          <w:lang w:val="en-US" w:eastAsia="en-US" w:bidi="en-US"/>
        </w:rPr>
        <w:t>Pyrosoma</w:t>
      </w:r>
      <w:r>
        <w:rPr>
          <w:color w:val="000000"/>
          <w:spacing w:val="0"/>
          <w:w w:val="100"/>
          <w:position w:val="0"/>
          <w:sz w:val="17"/>
          <w:szCs w:val="17"/>
          <w:shd w:val="clear" w:color="auto" w:fill="auto"/>
          <w:lang w:val="en-US" w:eastAsia="en-US" w:bidi="en-US"/>
        </w:rPr>
        <w:t xml:space="preserve"> colony, as all the fully developed ascidiozooids are placed with their antero</w:t>
        <w:softHyphen/>
        <w:t>posterior axes at right angles to the surface and communicate by their atrial apertures with the central cavity of the colony (fig. 21).</w:t>
      </w:r>
    </w:p>
    <w:p>
      <w:pPr>
        <w:pStyle w:val="Style3"/>
        <w:keepNext w:val="0"/>
        <w:keepLines w:val="0"/>
        <w:widowControl w:val="0"/>
        <w:shd w:val="clear" w:color="auto" w:fill="auto"/>
        <w:bidi w:val="0"/>
        <w:spacing w:line="190"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Their dorsal surfaces are turned towards the open end of the colony. The more important points in the structure of the ascidiozooid of </w:t>
      </w:r>
      <w:r>
        <w:rPr>
          <w:rFonts w:ascii="Arial" w:eastAsia="Arial" w:hAnsi="Arial" w:cs="Arial"/>
          <w:i/>
          <w:iCs/>
          <w:color w:val="000000"/>
          <w:spacing w:val="0"/>
          <w:w w:val="100"/>
          <w:position w:val="0"/>
          <w:sz w:val="32"/>
          <w:szCs w:val="32"/>
          <w:shd w:val="clear" w:color="auto" w:fill="auto"/>
          <w:lang w:val="en-US" w:eastAsia="en-US" w:bidi="en-US"/>
        </w:rPr>
        <w:t>Pyrosoma</w:t>
      </w:r>
      <w:r>
        <w:rPr>
          <w:color w:val="000000"/>
          <w:spacing w:val="0"/>
          <w:w w:val="100"/>
          <w:position w:val="0"/>
          <w:sz w:val="17"/>
          <w:szCs w:val="17"/>
          <w:shd w:val="clear" w:color="auto" w:fill="auto"/>
          <w:lang w:val="en-US" w:eastAsia="en-US" w:bidi="en-US"/>
        </w:rPr>
        <w:t xml:space="preserve"> are shown in fig. 22. A circle of tentacles, of which one, placed ventrally (fig. 22, </w:t>
      </w:r>
      <w:r>
        <w:rPr>
          <w:i/>
          <w:iCs/>
          <w:color w:val="000000"/>
          <w:spacing w:val="0"/>
          <w:w w:val="100"/>
          <w:position w:val="0"/>
          <w:sz w:val="17"/>
          <w:szCs w:val="17"/>
          <w:shd w:val="clear" w:color="auto" w:fill="auto"/>
          <w:lang w:val="en-US" w:eastAsia="en-US" w:bidi="en-US"/>
        </w:rPr>
        <w:t>tn</w:t>
      </w:r>
      <w:r>
        <w:rPr>
          <w:color w:val="000000"/>
          <w:spacing w:val="0"/>
          <w:w w:val="100"/>
          <w:position w:val="0"/>
          <w:sz w:val="17"/>
          <w:szCs w:val="17"/>
          <w:shd w:val="clear" w:color="auto" w:fill="auto"/>
          <w:lang w:val="en-US" w:eastAsia="en-US" w:bidi="en-US"/>
        </w:rPr>
        <w:t>), is larger than the rest, is found just inside the branchial aperture.</w:t>
      </w:r>
    </w:p>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From this point a wide cavity, with a few circularly-placed muscle bands run</w:t>
        <w:softHyphen/>
        <w:t>ning round its walls, leads back to the large branchial sac, which occupies the greater part of the body. The stigmata are elongated trans</w:t>
        <w:softHyphen/>
        <w:t>versely and crossed by internal longitu</w:t>
        <w:softHyphen/>
        <w:t>dinal bars. The dor</w:t>
        <w:softHyphen/>
        <w:t>sal lamina is repre</w:t>
        <w:softHyphen/>
        <w:t>sented by a series of eight languets (Z). The nerve ganglion (on which is placed a small pigmented sense organ), the sub</w:t>
        <w:softHyphen/>
        <w:t>neural gland, the dor</w:t>
        <w:softHyphen/>
        <w:t>sal tubercle, the peri</w:t>
        <w:softHyphen/>
        <w:t>pharyngeal bands, and the endostyle are placed in the usual positions. On each side of the anterior end of the branchial sac, close to the peri</w:t>
        <w:softHyphen/>
        <w:t>pharyngeal bands, is a mass of rounded gland cells which are the source of the phosphores</w:t>
        <w:softHyphen/>
        <w:t xml:space="preserve">cence. The alimentary canal is placed posteriorly to the branchial sac, and the anus opens into a large peribranchial (or atrial) cavity, of which only the median posterior part is shown </w:t>
      </w:r>
      <w:r>
        <w:rPr>
          <w:rFonts w:ascii="Arial" w:eastAsia="Arial" w:hAnsi="Arial" w:cs="Arial"/>
          <w:i/>
          <w:iCs/>
          <w:color w:val="000000"/>
          <w:spacing w:val="0"/>
          <w:w w:val="100"/>
          <w:position w:val="0"/>
          <w:sz w:val="32"/>
          <w:szCs w:val="32"/>
          <w:shd w:val="clear" w:color="auto" w:fill="auto"/>
          <w:lang w:val="en-US" w:eastAsia="en-US" w:bidi="en-US"/>
        </w:rPr>
        <w:t>(pbr)</w:t>
      </w:r>
      <w:r>
        <w:rPr>
          <w:color w:val="000000"/>
          <w:spacing w:val="0"/>
          <w:w w:val="100"/>
          <w:position w:val="0"/>
          <w:sz w:val="17"/>
          <w:szCs w:val="17"/>
          <w:shd w:val="clear" w:color="auto" w:fill="auto"/>
          <w:lang w:val="en-US" w:eastAsia="en-US" w:bidi="en-US"/>
        </w:rPr>
        <w:t xml:space="preserve"> in fig. 22. The reproductive organs are developed in a diverticulum of the peri</w:t>
        <w:softHyphen/>
      </w:r>
      <w:r>
        <w:rPr>
          <w:rStyle w:val="CharStyle10"/>
          <w:sz w:val="17"/>
          <w:szCs w:val="17"/>
          <w:lang w:val="en-US" w:eastAsia="en-US" w:bidi="en-US"/>
        </w:rPr>
        <w:t xml:space="preserve">branchial cavity, and consist of a lobed testis and a single ovum at a time. The development takes place in a part of the peribranchial cavity (fig. 21, </w:t>
      </w:r>
      <w:r>
        <w:rPr>
          <w:rStyle w:val="CharStyle10"/>
          <w:rFonts w:ascii="Arial" w:eastAsia="Arial" w:hAnsi="Arial" w:cs="Arial"/>
          <w:i/>
          <w:iCs/>
          <w:sz w:val="32"/>
          <w:szCs w:val="32"/>
          <w:lang w:val="en-US" w:eastAsia="en-US" w:bidi="en-US"/>
        </w:rPr>
        <w:t>em).</w:t>
      </w:r>
      <w:r>
        <w:rPr>
          <w:rStyle w:val="CharStyle10"/>
          <w:sz w:val="17"/>
          <w:szCs w:val="17"/>
          <w:lang w:val="en-US" w:eastAsia="en-US" w:bidi="en-US"/>
        </w:rPr>
        <w:t xml:space="preserve"> The segmentation is meroblastic, and an elongated embryo is formed on the surface of a mass of yolk. The embryo, after the formation of an alimentary cavity, a tubular nervous system, and a pair of laterally placed atrial tubes, divides into an anterior and a posterior part. The anterior part then segments into four pieces, which afterwards develop into the first ascidiozooids of the colony, while the posterior part remains in a rudimentary condition, and was called by Huxley the “cyatho- zooid ” ; it eventually atrophies. As the four ascidiozooids increase in size, they grow round the cyathozooid and soon encircle it (fig. 21, </w:t>
      </w:r>
      <w:r>
        <w:rPr>
          <w:rStyle w:val="CharStyle10"/>
          <w:rFonts w:ascii="Arial" w:eastAsia="Arial" w:hAnsi="Arial" w:cs="Arial"/>
          <w:i/>
          <w:iCs/>
          <w:sz w:val="32"/>
          <w:szCs w:val="32"/>
          <w:lang w:val="en-US" w:eastAsia="en-US" w:bidi="en-US"/>
        </w:rPr>
        <w:t>asc</w:t>
      </w:r>
      <w:r>
        <w:rPr>
          <w:rStyle w:val="CharStyle10"/>
          <w:sz w:val="17"/>
          <w:szCs w:val="17"/>
          <w:lang w:val="en-US" w:eastAsia="en-US" w:bidi="en-US"/>
        </w:rPr>
        <w:t xml:space="preserve"> and </w:t>
      </w:r>
      <w:r>
        <w:rPr>
          <w:rStyle w:val="CharStyle10"/>
          <w:i/>
          <w:iCs/>
          <w:sz w:val="17"/>
          <w:szCs w:val="17"/>
          <w:lang w:val="en-US" w:eastAsia="en-US" w:bidi="en-US"/>
        </w:rPr>
        <w:t>cy</w:t>
      </w:r>
      <w:r>
        <w:rPr>
          <w:rStyle w:val="CharStyle10"/>
          <w:sz w:val="17"/>
          <w:szCs w:val="17"/>
          <w:lang w:val="en-US" w:eastAsia="en-US" w:bidi="en-US"/>
        </w:rPr>
        <w:t>). The cyathozooid absorbs the nourishing yolk upon which it lies, and distributes it to the ascidiozooids by means of a heart and system of vessels which have been meanwhile formed. When the cyathozooid atrophies and is absorbed, its original atrial aperture remains and deepens to become the central cavity of the young colony, which now consists of four ascidiozooids placed in a ring, around where the cyathozooid was, and enveloped in a common test. The colony gradually increases by the formation of buds from these four original ascidiozooids.</w:t>
      </w:r>
    </w:p>
    <w:p>
      <w:pPr>
        <w:pStyle w:val="Style3"/>
        <w:keepNext w:val="0"/>
        <w:keepLines w:val="0"/>
        <w:widowControl w:val="0"/>
        <w:shd w:val="clear" w:color="auto" w:fill="auto"/>
        <w:bidi w:val="0"/>
        <w:spacing w:line="194" w:lineRule="auto"/>
        <w:ind w:left="0" w:firstLine="0"/>
        <w:jc w:val="left"/>
      </w:pPr>
      <w:r>
        <w:rPr>
          <w:smallCaps/>
          <w:color w:val="000000"/>
          <w:spacing w:val="0"/>
          <w:w w:val="100"/>
          <w:position w:val="0"/>
          <w:shd w:val="clear" w:color="auto" w:fill="auto"/>
          <w:lang w:val="en-US" w:eastAsia="en-US" w:bidi="en-US"/>
        </w:rPr>
        <w:t>Phylogeny.</w:t>
      </w:r>
    </w:p>
    <w:p>
      <w:pPr>
        <w:pStyle w:val="Style3"/>
        <w:keepNext w:val="0"/>
        <w:keepLines w:val="0"/>
        <w:widowControl w:val="0"/>
        <w:shd w:val="clear" w:color="auto" w:fill="auto"/>
        <w:bidi w:val="0"/>
        <w:spacing w:line="178"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accompanying diagram shows graphically the probable origin and course of evolution of the various groups of </w:t>
      </w:r>
      <w:r>
        <w:rPr>
          <w:rFonts w:ascii="Arial" w:eastAsia="Arial" w:hAnsi="Arial" w:cs="Arial"/>
          <w:i/>
          <w:iCs/>
          <w:color w:val="000000"/>
          <w:spacing w:val="0"/>
          <w:w w:val="100"/>
          <w:position w:val="0"/>
          <w:sz w:val="32"/>
          <w:szCs w:val="32"/>
          <w:shd w:val="clear" w:color="auto" w:fill="auto"/>
          <w:lang w:val="la-001" w:eastAsia="la-001" w:bidi="la-001"/>
        </w:rPr>
        <w:t xml:space="preserve">Tunicata, </w:t>
      </w:r>
      <w:r>
        <w:rPr>
          <w:color w:val="000000"/>
          <w:spacing w:val="0"/>
          <w:w w:val="100"/>
          <w:position w:val="0"/>
          <w:sz w:val="17"/>
          <w:szCs w:val="17"/>
          <w:shd w:val="clear" w:color="auto" w:fill="auto"/>
          <w:lang w:val="en-US" w:eastAsia="en-US" w:bidi="en-US"/>
        </w:rPr>
        <w:t xml:space="preserve">and therefore exhibits their relations to one another much more correctly than any system of linear classification can do. The ancestral </w:t>
      </w:r>
      <w:r>
        <w:rPr>
          <w:rFonts w:ascii="Arial" w:eastAsia="Arial" w:hAnsi="Arial" w:cs="Arial"/>
          <w:i/>
          <w:iCs/>
          <w:color w:val="000000"/>
          <w:spacing w:val="0"/>
          <w:w w:val="100"/>
          <w:position w:val="0"/>
          <w:sz w:val="32"/>
          <w:szCs w:val="32"/>
          <w:shd w:val="clear" w:color="auto" w:fill="auto"/>
          <w:lang w:val="en-US" w:eastAsia="en-US" w:bidi="en-US"/>
        </w:rPr>
        <w:t xml:space="preserve">Proto- </w:t>
      </w:r>
      <w:r>
        <w:rPr>
          <w:rFonts w:ascii="Arial" w:eastAsia="Arial" w:hAnsi="Arial" w:cs="Arial"/>
          <w:i/>
          <w:iCs/>
          <w:color w:val="000000"/>
          <w:spacing w:val="0"/>
          <w:w w:val="100"/>
          <w:position w:val="0"/>
          <w:sz w:val="32"/>
          <w:szCs w:val="32"/>
          <w:shd w:val="clear" w:color="auto" w:fill="auto"/>
          <w:lang w:val="la-001" w:eastAsia="la-001" w:bidi="la-001"/>
        </w:rPr>
        <w:t>Tunicata</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are here regarded@@</w:t>
      </w: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as an offshoot from the </w:t>
      </w:r>
      <w:r>
        <w:rPr>
          <w:rFonts w:ascii="Arial" w:eastAsia="Arial" w:hAnsi="Arial" w:cs="Arial"/>
          <w:i/>
          <w:iCs/>
          <w:color w:val="000000"/>
          <w:spacing w:val="0"/>
          <w:w w:val="100"/>
          <w:position w:val="0"/>
          <w:sz w:val="32"/>
          <w:szCs w:val="32"/>
          <w:shd w:val="clear" w:color="auto" w:fill="auto"/>
          <w:lang w:val="en-US" w:eastAsia="en-US" w:bidi="en-US"/>
        </w:rPr>
        <w:t>Proto-Chordata—</w:t>
      </w:r>
      <w:r>
        <w:rPr>
          <w:color w:val="000000"/>
          <w:spacing w:val="0"/>
          <w:w w:val="100"/>
          <w:position w:val="0"/>
          <w:sz w:val="17"/>
          <w:szCs w:val="17"/>
          <w:shd w:val="clear" w:color="auto" w:fill="auto"/>
          <w:lang w:val="en-US" w:eastAsia="en-US" w:bidi="en-US"/>
        </w:rPr>
        <w:t xml:space="preserve">the common ancestors of the </w:t>
      </w:r>
      <w:r>
        <w:rPr>
          <w:rFonts w:ascii="Arial" w:eastAsia="Arial" w:hAnsi="Arial" w:cs="Arial"/>
          <w:i/>
          <w:iCs/>
          <w:color w:val="000000"/>
          <w:spacing w:val="0"/>
          <w:w w:val="100"/>
          <w:position w:val="0"/>
          <w:sz w:val="32"/>
          <w:szCs w:val="32"/>
          <w:shd w:val="clear" w:color="auto" w:fill="auto"/>
          <w:lang w:val="la-001" w:eastAsia="la-001" w:bidi="la-001"/>
        </w:rPr>
        <w:t xml:space="preserve">Tunicata </w:t>
      </w:r>
      <w:r>
        <w:rPr>
          <w:rFonts w:ascii="Arial" w:eastAsia="Arial" w:hAnsi="Arial" w:cs="Arial"/>
          <w:i/>
          <w:iCs/>
          <w:color w:val="000000"/>
          <w:spacing w:val="0"/>
          <w:w w:val="100"/>
          <w:position w:val="0"/>
          <w:sz w:val="32"/>
          <w:szCs w:val="32"/>
          <w:shd w:val="clear" w:color="auto" w:fill="auto"/>
          <w:lang w:val="en-US" w:eastAsia="en-US" w:bidi="en-US"/>
        </w:rPr>
        <w:t>(Uro</w:t>
        <w:softHyphen/>
        <w:t>chorda), Amphioxus (Ceρhalochorda),</w:t>
      </w:r>
      <w:r>
        <w:rPr>
          <w:color w:val="000000"/>
          <w:spacing w:val="0"/>
          <w:w w:val="100"/>
          <w:position w:val="0"/>
          <w:sz w:val="17"/>
          <w:szCs w:val="17"/>
          <w:shd w:val="clear" w:color="auto" w:fill="auto"/>
          <w:lang w:val="en-US" w:eastAsia="en-US" w:bidi="en-US"/>
        </w:rPr>
        <w:t xml:space="preserve"> and the </w:t>
      </w:r>
      <w:r>
        <w:rPr>
          <w:rFonts w:ascii="Arial" w:eastAsia="Arial" w:hAnsi="Arial" w:cs="Arial"/>
          <w:i/>
          <w:iCs/>
          <w:color w:val="000000"/>
          <w:spacing w:val="0"/>
          <w:w w:val="100"/>
          <w:position w:val="0"/>
          <w:sz w:val="32"/>
          <w:szCs w:val="32"/>
          <w:shd w:val="clear" w:color="auto" w:fill="auto"/>
          <w:lang w:val="la-001" w:eastAsia="la-001" w:bidi="la-001"/>
        </w:rPr>
        <w:t>Verte</w:t>
        <w:softHyphen/>
        <w:t>brata.</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The ancestral </w:t>
      </w:r>
      <w:r>
        <w:rPr>
          <w:rFonts w:ascii="Arial" w:eastAsia="Arial" w:hAnsi="Arial" w:cs="Arial"/>
          <w:i/>
          <w:iCs/>
          <w:color w:val="000000"/>
          <w:spacing w:val="0"/>
          <w:w w:val="100"/>
          <w:position w:val="0"/>
          <w:sz w:val="32"/>
          <w:szCs w:val="32"/>
          <w:shd w:val="clear" w:color="auto" w:fill="auto"/>
          <w:lang w:val="la-001" w:eastAsia="la-001" w:bidi="la-001"/>
        </w:rPr>
        <w:t>Tunicata</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were probably free- swimming forms, not very unlike the existing </w:t>
      </w:r>
      <w:r>
        <w:rPr>
          <w:rFonts w:ascii="Arial" w:eastAsia="Arial" w:hAnsi="Arial" w:cs="Arial"/>
          <w:i/>
          <w:iCs/>
          <w:color w:val="000000"/>
          <w:spacing w:val="0"/>
          <w:w w:val="100"/>
          <w:position w:val="0"/>
          <w:sz w:val="32"/>
          <w:szCs w:val="32"/>
          <w:shd w:val="clear" w:color="auto" w:fill="auto"/>
          <w:lang w:val="fr-FR" w:eastAsia="fr-FR" w:bidi="fr-FR"/>
        </w:rPr>
        <w:t>Appendiculariidæ,</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and are represented in the life-history</w:t>
      </w:r>
    </w:p>
    <w:p>
      <w:pPr>
        <w:pStyle w:val="Style3"/>
        <w:keepNext w:val="0"/>
        <w:keepLines w:val="0"/>
        <w:widowControl w:val="0"/>
        <w:shd w:val="clear" w:color="auto" w:fill="auto"/>
        <w:bidi w:val="0"/>
        <w:spacing w:line="168"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of nearly all sections of the </w:t>
      </w:r>
      <w:r>
        <w:rPr>
          <w:rFonts w:ascii="Arial" w:eastAsia="Arial" w:hAnsi="Arial" w:cs="Arial"/>
          <w:i/>
          <w:iCs/>
          <w:color w:val="000000"/>
          <w:spacing w:val="0"/>
          <w:w w:val="100"/>
          <w:position w:val="0"/>
          <w:sz w:val="32"/>
          <w:szCs w:val="32"/>
          <w:shd w:val="clear" w:color="auto" w:fill="auto"/>
          <w:lang w:val="la-001" w:eastAsia="la-001" w:bidi="la-001"/>
        </w:rPr>
        <w:t>Tunicata</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by the tailed lar</w:t>
        <w:softHyphen/>
        <w:t xml:space="preserve">val stage. The </w:t>
      </w:r>
      <w:r>
        <w:rPr>
          <w:rFonts w:ascii="Arial" w:eastAsia="Arial" w:hAnsi="Arial" w:cs="Arial"/>
          <w:i/>
          <w:iCs/>
          <w:color w:val="000000"/>
          <w:spacing w:val="0"/>
          <w:w w:val="100"/>
          <w:position w:val="0"/>
          <w:sz w:val="32"/>
          <w:szCs w:val="32"/>
          <w:shd w:val="clear" w:color="auto" w:fill="auto"/>
          <w:lang w:val="en-US" w:eastAsia="en-US" w:bidi="en-US"/>
        </w:rPr>
        <w:t>Larvacea</w:t>
      </w:r>
      <w:r>
        <w:rPr>
          <w:color w:val="000000"/>
          <w:spacing w:val="0"/>
          <w:w w:val="100"/>
          <w:position w:val="0"/>
          <w:sz w:val="17"/>
          <w:szCs w:val="17"/>
          <w:shd w:val="clear" w:color="auto" w:fill="auto"/>
          <w:lang w:val="en-US" w:eastAsia="en-US" w:bidi="en-US"/>
        </w:rPr>
        <w:t xml:space="preserve"> are the first off</w:t>
        <w:softHyphen/>
        <w:t xml:space="preserve">shoot from the ancestral forms which gave rise to the two lines of descendants, the </w:t>
      </w:r>
      <w:r>
        <w:rPr>
          <w:rFonts w:ascii="Arial" w:eastAsia="Arial" w:hAnsi="Arial" w:cs="Arial"/>
          <w:i/>
          <w:iCs/>
          <w:color w:val="000000"/>
          <w:spacing w:val="0"/>
          <w:w w:val="100"/>
          <w:position w:val="0"/>
          <w:sz w:val="32"/>
          <w:szCs w:val="32"/>
          <w:shd w:val="clear" w:color="auto" w:fill="auto"/>
          <w:lang w:val="en-US" w:eastAsia="en-US" w:bidi="en-US"/>
        </w:rPr>
        <w:t>Proto-Thaliacea</w:t>
      </w:r>
      <w:r>
        <w:rPr>
          <w:color w:val="000000"/>
          <w:spacing w:val="0"/>
          <w:w w:val="100"/>
          <w:position w:val="0"/>
          <w:sz w:val="17"/>
          <w:szCs w:val="17"/>
          <w:shd w:val="clear" w:color="auto" w:fill="auto"/>
          <w:lang w:val="en-US" w:eastAsia="en-US" w:bidi="en-US"/>
        </w:rPr>
        <w:t xml:space="preserve"> and the </w:t>
      </w:r>
      <w:r>
        <w:rPr>
          <w:rFonts w:ascii="Arial" w:eastAsia="Arial" w:hAnsi="Arial" w:cs="Arial"/>
          <w:i/>
          <w:iCs/>
          <w:color w:val="000000"/>
          <w:spacing w:val="0"/>
          <w:w w:val="100"/>
          <w:position w:val="0"/>
          <w:sz w:val="32"/>
          <w:szCs w:val="32"/>
          <w:shd w:val="clear" w:color="auto" w:fill="auto"/>
          <w:lang w:val="en-US" w:eastAsia="en-US" w:bidi="en-US"/>
        </w:rPr>
        <w:t>Proto- Ascidiacea.</w:t>
      </w:r>
      <w:r>
        <w:rPr>
          <w:color w:val="000000"/>
          <w:spacing w:val="0"/>
          <w:w w:val="100"/>
          <w:position w:val="0"/>
          <w:sz w:val="17"/>
          <w:szCs w:val="17"/>
          <w:shd w:val="clear" w:color="auto" w:fill="auto"/>
          <w:lang w:val="en-US" w:eastAsia="en-US" w:bidi="en-US"/>
        </w:rPr>
        <w:t xml:space="preserve"> The </w:t>
      </w:r>
      <w:r>
        <w:rPr>
          <w:rFonts w:ascii="Arial" w:eastAsia="Arial" w:hAnsi="Arial" w:cs="Arial"/>
          <w:i/>
          <w:iCs/>
          <w:color w:val="000000"/>
          <w:spacing w:val="0"/>
          <w:w w:val="100"/>
          <w:position w:val="0"/>
          <w:sz w:val="32"/>
          <w:szCs w:val="32"/>
          <w:shd w:val="clear" w:color="auto" w:fill="auto"/>
          <w:lang w:val="en-US" w:eastAsia="en-US" w:bidi="en-US"/>
        </w:rPr>
        <w:t>Proto- Thaliacea</w:t>
      </w:r>
      <w:r>
        <w:rPr>
          <w:color w:val="000000"/>
          <w:spacing w:val="0"/>
          <w:w w:val="100"/>
          <w:position w:val="0"/>
          <w:sz w:val="17"/>
          <w:szCs w:val="17"/>
          <w:shd w:val="clear" w:color="auto" w:fill="auto"/>
          <w:lang w:val="en-US" w:eastAsia="en-US" w:bidi="en-US"/>
        </w:rPr>
        <w:t xml:space="preserve"> then split into the ancestors of the existing </w:t>
      </w:r>
      <w:r>
        <w:rPr>
          <w:i/>
          <w:iCs/>
          <w:color w:val="000000"/>
          <w:spacing w:val="0"/>
          <w:w w:val="100"/>
          <w:position w:val="0"/>
          <w:sz w:val="17"/>
          <w:szCs w:val="17"/>
          <w:shd w:val="clear" w:color="auto" w:fill="auto"/>
          <w:lang w:val="en-US" w:eastAsia="en-US" w:bidi="en-US"/>
        </w:rPr>
        <w:t>C</w:t>
      </w:r>
      <w:r>
        <w:rPr>
          <w:rFonts w:ascii="Arial" w:eastAsia="Arial" w:hAnsi="Arial" w:cs="Arial"/>
          <w:i/>
          <w:iCs/>
          <w:color w:val="000000"/>
          <w:spacing w:val="0"/>
          <w:w w:val="100"/>
          <w:position w:val="0"/>
          <w:sz w:val="32"/>
          <w:szCs w:val="32"/>
          <w:shd w:val="clear" w:color="auto" w:fill="auto"/>
          <w:lang w:val="en-US" w:eastAsia="en-US" w:bidi="en-US"/>
        </w:rPr>
        <w:t>yclomyaria</w:t>
      </w:r>
      <w:r>
        <w:rPr>
          <w:color w:val="000000"/>
          <w:spacing w:val="0"/>
          <w:w w:val="100"/>
          <w:position w:val="0"/>
          <w:sz w:val="17"/>
          <w:szCs w:val="17"/>
          <w:shd w:val="clear" w:color="auto" w:fill="auto"/>
          <w:lang w:val="en-US" w:eastAsia="en-US" w:bidi="en-US"/>
        </w:rPr>
        <w:t xml:space="preserve"> and </w:t>
      </w:r>
      <w:r>
        <w:rPr>
          <w:rFonts w:ascii="Arial" w:eastAsia="Arial" w:hAnsi="Arial" w:cs="Arial"/>
          <w:i/>
          <w:iCs/>
          <w:color w:val="000000"/>
          <w:spacing w:val="0"/>
          <w:w w:val="100"/>
          <w:position w:val="0"/>
          <w:sz w:val="32"/>
          <w:szCs w:val="32"/>
          <w:shd w:val="clear" w:color="auto" w:fill="auto"/>
          <w:lang w:val="en-US" w:eastAsia="en-US" w:bidi="en-US"/>
        </w:rPr>
        <w:t>Hemimyaria.</w:t>
      </w:r>
      <w:r>
        <w:rPr>
          <w:color w:val="000000"/>
          <w:spacing w:val="0"/>
          <w:w w:val="100"/>
          <w:position w:val="0"/>
          <w:sz w:val="17"/>
          <w:szCs w:val="17"/>
          <w:shd w:val="clear" w:color="auto" w:fill="auto"/>
          <w:lang w:val="en-US" w:eastAsia="en-US" w:bidi="en-US"/>
        </w:rPr>
        <w:t xml:space="preserve"> The </w:t>
      </w:r>
      <w:r>
        <w:rPr>
          <w:rFonts w:ascii="Arial" w:eastAsia="Arial" w:hAnsi="Arial" w:cs="Arial"/>
          <w:i/>
          <w:iCs/>
          <w:color w:val="000000"/>
          <w:spacing w:val="0"/>
          <w:w w:val="100"/>
          <w:position w:val="0"/>
          <w:sz w:val="32"/>
          <w:szCs w:val="32"/>
          <w:shd w:val="clear" w:color="auto" w:fill="auto"/>
          <w:lang w:val="en-US" w:eastAsia="en-US" w:bidi="en-US"/>
        </w:rPr>
        <w:t xml:space="preserve">Proto-Ascidiacea </w:t>
      </w:r>
      <w:r>
        <w:rPr>
          <w:color w:val="000000"/>
          <w:spacing w:val="0"/>
          <w:w w:val="100"/>
          <w:position w:val="0"/>
          <w:sz w:val="17"/>
          <w:szCs w:val="17"/>
          <w:shd w:val="clear" w:color="auto" w:fill="auto"/>
          <w:lang w:val="en-US" w:eastAsia="en-US" w:bidi="en-US"/>
        </w:rPr>
        <w:t xml:space="preserve">gave up their pelagic mode of life and became fixed. This ancestral process is repeated at the present day when the free-swimming larva of the Simple and Compound Ascidians becomes attached. The </w:t>
      </w:r>
      <w:r>
        <w:rPr>
          <w:rFonts w:ascii="Arial" w:eastAsia="Arial" w:hAnsi="Arial" w:cs="Arial"/>
          <w:i/>
          <w:iCs/>
          <w:color w:val="000000"/>
          <w:spacing w:val="0"/>
          <w:w w:val="100"/>
          <w:position w:val="0"/>
          <w:sz w:val="32"/>
          <w:szCs w:val="32"/>
          <w:shd w:val="clear" w:color="auto" w:fill="auto"/>
          <w:lang w:val="en-US" w:eastAsia="en-US" w:bidi="en-US"/>
        </w:rPr>
        <w:t>Proto-Ascidiacea,</w:t>
      </w:r>
      <w:r>
        <w:rPr>
          <w:color w:val="000000"/>
          <w:spacing w:val="0"/>
          <w:w w:val="100"/>
          <w:position w:val="0"/>
          <w:sz w:val="17"/>
          <w:szCs w:val="17"/>
          <w:shd w:val="clear" w:color="auto" w:fill="auto"/>
          <w:lang w:val="en-US" w:eastAsia="en-US" w:bidi="en-US"/>
        </w:rPr>
        <w:t xml:space="preserve"> after the change, are probably most nearly repre</w:t>
        <w:softHyphen/>
        <w:t xml:space="preserve">sented by the existing genus </w:t>
      </w:r>
      <w:r>
        <w:rPr>
          <w:rFonts w:ascii="Arial" w:eastAsia="Arial" w:hAnsi="Arial" w:cs="Arial"/>
          <w:i/>
          <w:iCs/>
          <w:color w:val="000000"/>
          <w:spacing w:val="0"/>
          <w:w w:val="100"/>
          <w:position w:val="0"/>
          <w:sz w:val="32"/>
          <w:szCs w:val="32"/>
          <w:shd w:val="clear" w:color="auto" w:fill="auto"/>
          <w:lang w:val="en-US" w:eastAsia="en-US" w:bidi="en-US"/>
        </w:rPr>
        <w:t>Clavelina.</w:t>
      </w:r>
      <w:r>
        <w:rPr>
          <w:color w:val="000000"/>
          <w:spacing w:val="0"/>
          <w:w w:val="100"/>
          <w:position w:val="0"/>
          <w:sz w:val="17"/>
          <w:szCs w:val="17"/>
          <w:shd w:val="clear" w:color="auto" w:fill="auto"/>
          <w:lang w:val="en-US" w:eastAsia="en-US" w:bidi="en-US"/>
        </w:rPr>
        <w:t xml:space="preserve"> They have given rise directly or indirectly to the various groups of Simple and Com</w:t>
        <w:softHyphen/>
        <w:t xml:space="preserve">pound Ascidians and the </w:t>
      </w:r>
      <w:r>
        <w:rPr>
          <w:rFonts w:ascii="Arial" w:eastAsia="Arial" w:hAnsi="Arial" w:cs="Arial"/>
          <w:i/>
          <w:iCs/>
          <w:color w:val="000000"/>
          <w:spacing w:val="0"/>
          <w:w w:val="100"/>
          <w:position w:val="0"/>
          <w:sz w:val="32"/>
          <w:szCs w:val="32"/>
          <w:shd w:val="clear" w:color="auto" w:fill="auto"/>
          <w:lang w:val="fr-FR" w:eastAsia="fr-FR" w:bidi="fr-FR"/>
        </w:rPr>
        <w:t>Pyrosomidæ.</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These groups form two lines, which appear to have diverged close to the position of the family </w:t>
      </w:r>
      <w:r>
        <w:rPr>
          <w:rFonts w:ascii="Arial" w:eastAsia="Arial" w:hAnsi="Arial" w:cs="Arial"/>
          <w:i/>
          <w:iCs/>
          <w:color w:val="000000"/>
          <w:spacing w:val="0"/>
          <w:w w:val="100"/>
          <w:position w:val="0"/>
          <w:sz w:val="32"/>
          <w:szCs w:val="32"/>
          <w:shd w:val="clear" w:color="auto" w:fill="auto"/>
          <w:lang w:val="fr-FR" w:eastAsia="fr-FR" w:bidi="fr-FR"/>
        </w:rPr>
        <w:t>Clavelinidæ.</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The one line leads to the more typical Compound Ascidians, and includes the </w:t>
      </w:r>
      <w:r>
        <w:rPr>
          <w:rFonts w:ascii="Arial" w:eastAsia="Arial" w:hAnsi="Arial" w:cs="Arial"/>
          <w:i/>
          <w:iCs/>
          <w:color w:val="000000"/>
          <w:spacing w:val="0"/>
          <w:w w:val="100"/>
          <w:position w:val="0"/>
          <w:sz w:val="32"/>
          <w:szCs w:val="32"/>
          <w:shd w:val="clear" w:color="auto" w:fill="auto"/>
          <w:lang w:val="fr-FR" w:eastAsia="fr-FR" w:bidi="fr-FR"/>
        </w:rPr>
        <w:t>Polyclinidæ, Distomidæ, Didemnidæ, Diplosomidæ, Cœlocormidæ,</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and finally the </w:t>
      </w:r>
      <w:r>
        <w:rPr>
          <w:rFonts w:ascii="Arial" w:eastAsia="Arial" w:hAnsi="Arial" w:cs="Arial"/>
          <w:i/>
          <w:iCs/>
          <w:color w:val="000000"/>
          <w:spacing w:val="0"/>
          <w:w w:val="100"/>
          <w:position w:val="0"/>
          <w:sz w:val="32"/>
          <w:szCs w:val="32"/>
          <w:shd w:val="clear" w:color="auto" w:fill="auto"/>
          <w:lang w:val="fr-FR" w:eastAsia="fr-FR" w:bidi="fr-FR"/>
        </w:rPr>
        <w:t xml:space="preserve">Ascidiæ </w:t>
      </w:r>
      <w:r>
        <w:rPr>
          <w:rFonts w:ascii="Arial" w:eastAsia="Arial" w:hAnsi="Arial" w:cs="Arial"/>
          <w:i/>
          <w:iCs/>
          <w:color w:val="000000"/>
          <w:spacing w:val="0"/>
          <w:w w:val="100"/>
          <w:position w:val="0"/>
          <w:sz w:val="32"/>
          <w:szCs w:val="32"/>
          <w:shd w:val="clear" w:color="auto" w:fill="auto"/>
          <w:lang w:val="en-US" w:eastAsia="en-US" w:bidi="en-US"/>
        </w:rPr>
        <w:t>Salpiformes.</w:t>
      </w:r>
      <w:r>
        <w:rPr>
          <w:color w:val="000000"/>
          <w:spacing w:val="0"/>
          <w:w w:val="100"/>
          <w:position w:val="0"/>
          <w:sz w:val="17"/>
          <w:szCs w:val="17"/>
          <w:shd w:val="clear" w:color="auto" w:fill="auto"/>
          <w:lang w:val="en-US" w:eastAsia="en-US" w:bidi="en-US"/>
        </w:rPr>
        <w:t xml:space="preserve"> The second line gave rise to the Simple Ascidians, and to the </w:t>
      </w:r>
      <w:r>
        <w:rPr>
          <w:rFonts w:ascii="Arial" w:eastAsia="Arial" w:hAnsi="Arial" w:cs="Arial"/>
          <w:i/>
          <w:iCs/>
          <w:color w:val="000000"/>
          <w:spacing w:val="0"/>
          <w:w w:val="100"/>
          <w:position w:val="0"/>
          <w:sz w:val="32"/>
          <w:szCs w:val="32"/>
          <w:shd w:val="clear" w:color="auto" w:fill="auto"/>
          <w:lang w:val="fr-FR" w:eastAsia="fr-FR" w:bidi="fr-FR"/>
        </w:rPr>
        <w:t>Botryllidæ</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and </w:t>
      </w:r>
      <w:r>
        <w:rPr>
          <w:rFonts w:ascii="Arial" w:eastAsia="Arial" w:hAnsi="Arial" w:cs="Arial"/>
          <w:i/>
          <w:iCs/>
          <w:color w:val="000000"/>
          <w:spacing w:val="0"/>
          <w:w w:val="100"/>
          <w:position w:val="0"/>
          <w:sz w:val="32"/>
          <w:szCs w:val="32"/>
          <w:shd w:val="clear" w:color="auto" w:fill="auto"/>
          <w:lang w:val="fr-FR" w:eastAsia="fr-FR" w:bidi="fr-FR"/>
        </w:rPr>
        <w:t>Polystyelidæ,</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which are, therefore, not closely allied to the other Compound Ascidians. The later </w:t>
      </w:r>
      <w:r>
        <w:rPr>
          <w:rFonts w:ascii="Arial" w:eastAsia="Arial" w:hAnsi="Arial" w:cs="Arial"/>
          <w:i/>
          <w:iCs/>
          <w:color w:val="000000"/>
          <w:spacing w:val="0"/>
          <w:w w:val="100"/>
          <w:position w:val="0"/>
          <w:sz w:val="32"/>
          <w:szCs w:val="32"/>
          <w:shd w:val="clear" w:color="auto" w:fill="auto"/>
          <w:lang w:val="en-US" w:eastAsia="en-US" w:bidi="en-US"/>
        </w:rPr>
        <w:t>Proto- Ascidiacea</w:t>
      </w:r>
      <w:r>
        <w:rPr>
          <w:color w:val="000000"/>
          <w:spacing w:val="0"/>
          <w:w w:val="100"/>
          <w:position w:val="0"/>
          <w:sz w:val="17"/>
          <w:szCs w:val="17"/>
          <w:shd w:val="clear" w:color="auto" w:fill="auto"/>
          <w:lang w:val="en-US" w:eastAsia="en-US" w:bidi="en-US"/>
        </w:rPr>
        <w:t xml:space="preserve"> were probably colonial forms, and gemmation was re</w:t>
        <w:softHyphen/>
        <w:t xml:space="preserve">tained by the </w:t>
      </w:r>
      <w:r>
        <w:rPr>
          <w:rFonts w:ascii="Arial" w:eastAsia="Arial" w:hAnsi="Arial" w:cs="Arial"/>
          <w:i/>
          <w:iCs/>
          <w:color w:val="000000"/>
          <w:spacing w:val="0"/>
          <w:w w:val="100"/>
          <w:position w:val="0"/>
          <w:sz w:val="32"/>
          <w:szCs w:val="32"/>
          <w:shd w:val="clear" w:color="auto" w:fill="auto"/>
          <w:lang w:val="fr-FR" w:eastAsia="fr-FR" w:bidi="fr-FR"/>
        </w:rPr>
        <w:t>Clavelinidæ</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and by the typical Compound Ascidians </w:t>
      </w:r>
      <w:r>
        <w:rPr>
          <w:rFonts w:ascii="Arial" w:eastAsia="Arial" w:hAnsi="Arial" w:cs="Arial"/>
          <w:i/>
          <w:iCs/>
          <w:color w:val="000000"/>
          <w:spacing w:val="0"/>
          <w:w w:val="100"/>
          <w:position w:val="0"/>
          <w:sz w:val="32"/>
          <w:szCs w:val="32"/>
          <w:shd w:val="clear" w:color="auto" w:fill="auto"/>
          <w:lang w:val="fr-FR" w:eastAsia="fr-FR" w:bidi="fr-FR"/>
        </w:rPr>
        <w:t>(Distomidæ,</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&amp;c. ) derived from them. The power of forming colonies by budding was lost, however, by the primitive Simple Ascidians, and must, therefore, have been regained independently by the ancestral forms of the </w:t>
      </w:r>
      <w:r>
        <w:rPr>
          <w:rFonts w:ascii="Arial" w:eastAsia="Arial" w:hAnsi="Arial" w:cs="Arial"/>
          <w:i/>
          <w:iCs/>
          <w:color w:val="000000"/>
          <w:spacing w:val="0"/>
          <w:w w:val="100"/>
          <w:position w:val="0"/>
          <w:sz w:val="32"/>
          <w:szCs w:val="32"/>
          <w:shd w:val="clear" w:color="auto" w:fill="auto"/>
          <w:lang w:val="fr-FR" w:eastAsia="fr-FR" w:bidi="fr-FR"/>
        </w:rPr>
        <w:t>Botryllidæ</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and the </w:t>
      </w:r>
      <w:r>
        <w:rPr>
          <w:rFonts w:ascii="Arial" w:eastAsia="Arial" w:hAnsi="Arial" w:cs="Arial"/>
          <w:i/>
          <w:iCs/>
          <w:color w:val="000000"/>
          <w:spacing w:val="0"/>
          <w:w w:val="100"/>
          <w:position w:val="0"/>
          <w:sz w:val="32"/>
          <w:szCs w:val="32"/>
          <w:shd w:val="clear" w:color="auto" w:fill="auto"/>
          <w:lang w:val="fr-FR" w:eastAsia="fr-FR" w:bidi="fr-FR"/>
        </w:rPr>
        <w:t xml:space="preserve">Polystyelidæ. </w:t>
      </w:r>
      <w:r>
        <w:rPr>
          <w:color w:val="000000"/>
          <w:spacing w:val="0"/>
          <w:w w:val="100"/>
          <w:position w:val="0"/>
          <w:sz w:val="17"/>
          <w:szCs w:val="17"/>
          <w:shd w:val="clear" w:color="auto" w:fill="auto"/>
          <w:lang w:val="en-US" w:eastAsia="en-US" w:bidi="en-US"/>
        </w:rPr>
        <w:t xml:space="preserve">If this is a correct interpretation of the course of evolution of the </w:t>
      </w:r>
      <w:r>
        <w:rPr>
          <w:rFonts w:ascii="Arial" w:eastAsia="Arial" w:hAnsi="Arial" w:cs="Arial"/>
          <w:i/>
          <w:iCs/>
          <w:color w:val="000000"/>
          <w:spacing w:val="0"/>
          <w:w w:val="100"/>
          <w:position w:val="0"/>
          <w:sz w:val="32"/>
          <w:szCs w:val="32"/>
          <w:shd w:val="clear" w:color="auto" w:fill="auto"/>
          <w:lang w:val="la-001" w:eastAsia="la-001" w:bidi="la-001"/>
        </w:rPr>
        <w:t>Tunicata,</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we arrive at the following important conclusions. (1) The </w:t>
      </w:r>
      <w:r>
        <w:rPr>
          <w:rFonts w:ascii="Arial" w:eastAsia="Arial" w:hAnsi="Arial" w:cs="Arial"/>
          <w:i/>
          <w:iCs/>
          <w:color w:val="000000"/>
          <w:spacing w:val="0"/>
          <w:w w:val="100"/>
          <w:position w:val="0"/>
          <w:sz w:val="32"/>
          <w:szCs w:val="32"/>
          <w:shd w:val="clear" w:color="auto" w:fill="auto"/>
          <w:lang w:val="la-001" w:eastAsia="la-001" w:bidi="la-001"/>
        </w:rPr>
        <w:t>Tunicata,</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as a whole, form a degenerate branch of the </w:t>
      </w:r>
      <w:r>
        <w:rPr>
          <w:rFonts w:ascii="Arial" w:eastAsia="Arial" w:hAnsi="Arial" w:cs="Arial"/>
          <w:i/>
          <w:iCs/>
          <w:color w:val="000000"/>
          <w:spacing w:val="0"/>
          <w:w w:val="100"/>
          <w:position w:val="0"/>
          <w:sz w:val="32"/>
          <w:szCs w:val="32"/>
          <w:shd w:val="clear" w:color="auto" w:fill="auto"/>
          <w:lang w:val="en-US" w:eastAsia="en-US" w:bidi="en-US"/>
        </w:rPr>
        <w:t>Proto</w:t>
        <w:softHyphen/>
        <w:t xml:space="preserve">Chordata ; </w:t>
      </w:r>
      <w:r>
        <w:rPr>
          <w:color w:val="000000"/>
          <w:spacing w:val="0"/>
          <w:w w:val="100"/>
          <w:position w:val="0"/>
          <w:sz w:val="17"/>
          <w:szCs w:val="17"/>
          <w:shd w:val="clear" w:color="auto" w:fill="auto"/>
          <w:lang w:val="en-US" w:eastAsia="en-US" w:bidi="en-US"/>
        </w:rPr>
        <w:t xml:space="preserve">2) the </w:t>
      </w:r>
      <w:r>
        <w:rPr>
          <w:rFonts w:ascii="Arial" w:eastAsia="Arial" w:hAnsi="Arial" w:cs="Arial"/>
          <w:i/>
          <w:iCs/>
          <w:color w:val="000000"/>
          <w:spacing w:val="0"/>
          <w:w w:val="100"/>
          <w:position w:val="0"/>
          <w:sz w:val="32"/>
          <w:szCs w:val="32"/>
          <w:shd w:val="clear" w:color="auto" w:fill="auto"/>
          <w:lang w:val="fr-FR" w:eastAsia="fr-FR" w:bidi="fr-FR"/>
        </w:rPr>
        <w:t xml:space="preserve">Ascidiæ </w:t>
      </w:r>
      <w:r>
        <w:rPr>
          <w:rFonts w:ascii="Arial" w:eastAsia="Arial" w:hAnsi="Arial" w:cs="Arial"/>
          <w:i/>
          <w:iCs/>
          <w:color w:val="000000"/>
          <w:spacing w:val="0"/>
          <w:w w:val="100"/>
          <w:position w:val="0"/>
          <w:sz w:val="32"/>
          <w:szCs w:val="32"/>
          <w:shd w:val="clear" w:color="auto" w:fill="auto"/>
          <w:lang w:val="en-US" w:eastAsia="en-US" w:bidi="en-US"/>
        </w:rPr>
        <w:t>Salpiformes (Pyrosoma)</w:t>
      </w:r>
      <w:r>
        <w:rPr>
          <w:color w:val="000000"/>
          <w:spacing w:val="0"/>
          <w:w w:val="100"/>
          <w:position w:val="0"/>
          <w:sz w:val="17"/>
          <w:szCs w:val="17"/>
          <w:shd w:val="clear" w:color="auto" w:fill="auto"/>
          <w:lang w:val="en-US" w:eastAsia="en-US" w:bidi="en-US"/>
        </w:rPr>
        <w:t xml:space="preserve"> are much more closely related to the typical Compound Ascidians than to the other pelagic </w:t>
      </w:r>
      <w:r>
        <w:rPr>
          <w:rFonts w:ascii="Arial" w:eastAsia="Arial" w:hAnsi="Arial" w:cs="Arial"/>
          <w:i/>
          <w:iCs/>
          <w:color w:val="000000"/>
          <w:spacing w:val="0"/>
          <w:w w:val="100"/>
          <w:position w:val="0"/>
          <w:sz w:val="32"/>
          <w:szCs w:val="32"/>
          <w:shd w:val="clear" w:color="auto" w:fill="auto"/>
          <w:lang w:val="la-001" w:eastAsia="la-001" w:bidi="la-001"/>
        </w:rPr>
        <w:t>Tunicata,</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viz., the </w:t>
      </w:r>
      <w:r>
        <w:rPr>
          <w:rFonts w:ascii="Arial" w:eastAsia="Arial" w:hAnsi="Arial" w:cs="Arial"/>
          <w:i/>
          <w:iCs/>
          <w:color w:val="000000"/>
          <w:spacing w:val="0"/>
          <w:w w:val="100"/>
          <w:position w:val="0"/>
          <w:sz w:val="32"/>
          <w:szCs w:val="32"/>
          <w:shd w:val="clear" w:color="auto" w:fill="auto"/>
          <w:lang w:val="en-US" w:eastAsia="en-US" w:bidi="en-US"/>
        </w:rPr>
        <w:t>Larvacea</w:t>
      </w:r>
      <w:r>
        <w:rPr>
          <w:color w:val="000000"/>
          <w:spacing w:val="0"/>
          <w:w w:val="100"/>
          <w:position w:val="0"/>
          <w:sz w:val="17"/>
          <w:szCs w:val="17"/>
          <w:shd w:val="clear" w:color="auto" w:fill="auto"/>
          <w:lang w:val="en-US" w:eastAsia="en-US" w:bidi="en-US"/>
        </w:rPr>
        <w:t xml:space="preserve"> and the </w:t>
      </w:r>
      <w:r>
        <w:rPr>
          <w:rFonts w:ascii="Arial" w:eastAsia="Arial" w:hAnsi="Arial" w:cs="Arial"/>
          <w:i/>
          <w:iCs/>
          <w:color w:val="000000"/>
          <w:spacing w:val="0"/>
          <w:w w:val="100"/>
          <w:position w:val="0"/>
          <w:sz w:val="32"/>
          <w:szCs w:val="32"/>
          <w:shd w:val="clear" w:color="auto" w:fill="auto"/>
          <w:lang w:val="en-US" w:eastAsia="en-US" w:bidi="en-US"/>
        </w:rPr>
        <w:t>Thaliacea</w:t>
      </w:r>
      <w:r>
        <w:rPr>
          <w:color w:val="000000"/>
          <w:spacing w:val="0"/>
          <w:w w:val="100"/>
          <w:position w:val="0"/>
          <w:sz w:val="17"/>
          <w:szCs w:val="17"/>
          <w:shd w:val="clear" w:color="auto" w:fill="auto"/>
          <w:lang w:val="en-US" w:eastAsia="en-US" w:bidi="en-US"/>
        </w:rPr>
        <w:t xml:space="preserve"> ; and (3) the </w:t>
      </w:r>
      <w:r>
        <w:rPr>
          <w:rFonts w:ascii="Arial" w:eastAsia="Arial" w:hAnsi="Arial" w:cs="Arial"/>
          <w:i/>
          <w:iCs/>
          <w:color w:val="000000"/>
          <w:spacing w:val="0"/>
          <w:w w:val="100"/>
          <w:position w:val="0"/>
          <w:sz w:val="32"/>
          <w:szCs w:val="32"/>
          <w:shd w:val="clear" w:color="auto" w:fill="auto"/>
          <w:lang w:val="fr-FR" w:eastAsia="fr-FR" w:bidi="fr-FR"/>
        </w:rPr>
        <w:t>Ascidiæ Compositæ</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form a polyphyletic group, the sections of which have arisen at several distinct points from the ancestral Simple Ascidians.</w:t>
      </w:r>
    </w:p>
    <w:p>
      <w:pPr>
        <w:pStyle w:val="Style18"/>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Bibliography.</w:t>
      </w:r>
      <w:r>
        <w:rPr>
          <w:color w:val="000000"/>
          <w:spacing w:val="0"/>
          <w:w w:val="100"/>
          <w:position w:val="0"/>
          <w:shd w:val="clear" w:color="auto" w:fill="auto"/>
          <w:lang w:val="en-US" w:eastAsia="en-US" w:bidi="en-US"/>
        </w:rPr>
        <w:t xml:space="preserve">—(z) Cuvier, </w:t>
      </w:r>
      <w:r>
        <w:rPr>
          <w:color w:val="000000"/>
          <w:spacing w:val="0"/>
          <w:w w:val="100"/>
          <w:position w:val="0"/>
          <w:shd w:val="clear" w:color="auto" w:fill="auto"/>
          <w:lang w:val="fr-FR" w:eastAsia="fr-FR" w:bidi="fr-FR"/>
        </w:rPr>
        <w:t xml:space="preserve">“Mém. s. les Ascidies,” </w:t>
      </w:r>
      <w:r>
        <w:rPr>
          <w:color w:val="000000"/>
          <w:spacing w:val="0"/>
          <w:w w:val="100"/>
          <w:position w:val="0"/>
          <w:shd w:val="clear" w:color="auto" w:fill="auto"/>
          <w:lang w:val="en-US" w:eastAsia="en-US" w:bidi="en-US"/>
        </w:rPr>
        <w:t xml:space="preserve">&amp;c., in </w:t>
      </w:r>
      <w:r>
        <w:rPr>
          <w:i/>
          <w:iCs/>
          <w:color w:val="000000"/>
          <w:spacing w:val="0"/>
          <w:w w:val="100"/>
          <w:position w:val="0"/>
          <w:shd w:val="clear" w:color="auto" w:fill="auto"/>
          <w:lang w:val="en-US" w:eastAsia="en-US" w:bidi="en-US"/>
        </w:rPr>
        <w:t xml:space="preserve">Mém. </w:t>
      </w:r>
      <w:r>
        <w:rPr>
          <w:i/>
          <w:iCs/>
          <w:color w:val="000000"/>
          <w:spacing w:val="0"/>
          <w:w w:val="100"/>
          <w:position w:val="0"/>
          <w:shd w:val="clear" w:color="auto" w:fill="auto"/>
          <w:lang w:val="fr-FR" w:eastAsia="fr-FR" w:bidi="fr-FR"/>
        </w:rPr>
        <w:t>d. Mus.,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vol. ii. p. 10, Paris, 1815 ; (2) Savigny, </w:t>
      </w:r>
      <w:r>
        <w:rPr>
          <w:i/>
          <w:iCs/>
          <w:color w:val="000000"/>
          <w:spacing w:val="0"/>
          <w:w w:val="100"/>
          <w:position w:val="0"/>
          <w:shd w:val="clear" w:color="auto" w:fill="auto"/>
          <w:lang w:val="fr-FR" w:eastAsia="fr-FR" w:bidi="fr-FR"/>
        </w:rPr>
        <w:t>Mémoires sur les Animaux sans Vertèbres,</w:t>
      </w:r>
      <w:r>
        <w:rPr>
          <w:color w:val="000000"/>
          <w:spacing w:val="0"/>
          <w:w w:val="100"/>
          <w:position w:val="0"/>
          <w:shd w:val="clear" w:color="auto" w:fill="auto"/>
          <w:lang w:val="fr-FR" w:eastAsia="fr-FR" w:bidi="fr-FR"/>
        </w:rPr>
        <w:t xml:space="preserve"> pt. ii. fasc. i., Paris, 1816; (y) </w:t>
      </w:r>
      <w:r>
        <w:rPr>
          <w:color w:val="000000"/>
          <w:spacing w:val="0"/>
          <w:w w:val="100"/>
          <w:position w:val="0"/>
          <w:shd w:val="clear" w:color="auto" w:fill="auto"/>
          <w:lang w:val="en-US" w:eastAsia="en-US" w:bidi="en-US"/>
        </w:rPr>
        <w:t xml:space="preserve">Lamarck, </w:t>
      </w:r>
      <w:r>
        <w:rPr>
          <w:i/>
          <w:iCs/>
          <w:color w:val="000000"/>
          <w:spacing w:val="0"/>
          <w:w w:val="100"/>
          <w:position w:val="0"/>
          <w:shd w:val="clear" w:color="auto" w:fill="auto"/>
          <w:lang w:val="en-US" w:eastAsia="en-US" w:bidi="en-US"/>
        </w:rPr>
        <w:t xml:space="preserve">Hist. </w:t>
      </w:r>
      <w:r>
        <w:rPr>
          <w:i/>
          <w:iCs/>
          <w:color w:val="000000"/>
          <w:spacing w:val="0"/>
          <w:w w:val="100"/>
          <w:position w:val="0"/>
          <w:shd w:val="clear" w:color="auto" w:fill="auto"/>
          <w:lang w:val="fr-FR" w:eastAsia="fr-FR" w:bidi="fr-FR"/>
        </w:rPr>
        <w:t xml:space="preserve">Nat. d. </w:t>
      </w:r>
      <w:r>
        <w:rPr>
          <w:i/>
          <w:iCs/>
          <w:color w:val="000000"/>
          <w:spacing w:val="0"/>
          <w:w w:val="100"/>
          <w:position w:val="0"/>
          <w:shd w:val="clear" w:color="auto" w:fill="auto"/>
          <w:lang w:val="de-DE" w:eastAsia="de-DE" w:bidi="de-DE"/>
        </w:rPr>
        <w:t xml:space="preserve">Anim. </w:t>
      </w:r>
      <w:r>
        <w:rPr>
          <w:i/>
          <w:iCs/>
          <w:color w:val="000000"/>
          <w:spacing w:val="0"/>
          <w:w w:val="100"/>
          <w:position w:val="0"/>
          <w:shd w:val="clear" w:color="auto" w:fill="auto"/>
          <w:lang w:val="fr-FR" w:eastAsia="fr-FR" w:bidi="fr-FR"/>
        </w:rPr>
        <w:t>sans Vertèbres,</w:t>
      </w:r>
      <w:r>
        <w:rPr>
          <w:color w:val="000000"/>
          <w:spacing w:val="0"/>
          <w:w w:val="100"/>
          <w:position w:val="0"/>
          <w:shd w:val="clear" w:color="auto" w:fill="auto"/>
          <w:lang w:val="fr-FR" w:eastAsia="fr-FR" w:bidi="fr-FR"/>
        </w:rPr>
        <w:t xml:space="preserve"> 1st </w:t>
      </w:r>
      <w:r>
        <w:rPr>
          <w:color w:val="000000"/>
          <w:spacing w:val="0"/>
          <w:w w:val="100"/>
          <w:position w:val="0"/>
          <w:shd w:val="clear" w:color="auto" w:fill="auto"/>
          <w:lang w:val="en-US" w:eastAsia="en-US" w:bidi="en-US"/>
        </w:rPr>
        <w:t xml:space="preserve">ed., </w:t>
      </w:r>
      <w:r>
        <w:rPr>
          <w:color w:val="000000"/>
          <w:spacing w:val="0"/>
          <w:w w:val="100"/>
          <w:position w:val="0"/>
          <w:shd w:val="clear" w:color="auto" w:fill="auto"/>
          <w:lang w:val="fr-FR" w:eastAsia="fr-FR" w:bidi="fr-FR"/>
        </w:rPr>
        <w:t xml:space="preserve">Paris, 1815-23;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4</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O. F. </w:t>
      </w:r>
      <w:r>
        <w:rPr>
          <w:color w:val="000000"/>
          <w:spacing w:val="0"/>
          <w:w w:val="100"/>
          <w:position w:val="0"/>
          <w:shd w:val="clear" w:color="auto" w:fill="auto"/>
          <w:lang w:val="de-DE" w:eastAsia="de-DE" w:bidi="de-DE"/>
        </w:rPr>
        <w:t xml:space="preserve">Müller, </w:t>
      </w:r>
      <w:r>
        <w:rPr>
          <w:i/>
          <w:iCs/>
          <w:color w:val="000000"/>
          <w:spacing w:val="0"/>
          <w:w w:val="100"/>
          <w:position w:val="0"/>
          <w:shd w:val="clear" w:color="auto" w:fill="auto"/>
          <w:lang w:val="fr-FR" w:eastAsia="fr-FR" w:bidi="fr-FR"/>
        </w:rPr>
        <w:t xml:space="preserve">Zool. </w:t>
      </w:r>
      <w:r>
        <w:rPr>
          <w:i/>
          <w:iCs/>
          <w:color w:val="000000"/>
          <w:spacing w:val="0"/>
          <w:w w:val="100"/>
          <w:position w:val="0"/>
          <w:shd w:val="clear" w:color="auto" w:fill="auto"/>
          <w:lang w:val="de-DE" w:eastAsia="de-DE" w:bidi="de-DE"/>
        </w:rPr>
        <w:t>Danica,</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vol. iv., </w:t>
      </w:r>
      <w:r>
        <w:rPr>
          <w:color w:val="000000"/>
          <w:spacing w:val="0"/>
          <w:w w:val="100"/>
          <w:position w:val="0"/>
          <w:shd w:val="clear" w:color="auto" w:fill="auto"/>
          <w:lang w:val="fr-FR" w:eastAsia="fr-FR" w:bidi="fr-FR"/>
        </w:rPr>
        <w:t xml:space="preserve">1806; </w:t>
      </w:r>
      <w:r>
        <w:rPr>
          <w:color w:val="000000"/>
          <w:spacing w:val="0"/>
          <w:w w:val="100"/>
          <w:position w:val="0"/>
          <w:shd w:val="clear" w:color="auto" w:fill="auto"/>
          <w:lang w:val="en-US" w:eastAsia="en-US" w:bidi="en-US"/>
        </w:rPr>
        <w:t>(5) Milne-Ed</w:t>
        <w:softHyphen/>
        <w:t xml:space="preserve">wards, “Observ. </w:t>
      </w:r>
      <w:r>
        <w:rPr>
          <w:color w:val="000000"/>
          <w:spacing w:val="0"/>
          <w:w w:val="100"/>
          <w:position w:val="0"/>
          <w:shd w:val="clear" w:color="auto" w:fill="auto"/>
          <w:lang w:val="fr-FR" w:eastAsia="fr-FR" w:bidi="fr-FR"/>
        </w:rPr>
        <w:t xml:space="preserve">s. les Ascidies Composées,” </w:t>
      </w:r>
      <w:r>
        <w:rPr>
          <w:color w:val="000000"/>
          <w:spacing w:val="0"/>
          <w:w w:val="100"/>
          <w:position w:val="0"/>
          <w:shd w:val="clear" w:color="auto" w:fill="auto"/>
          <w:lang w:val="en-US" w:eastAsia="en-US" w:bidi="en-US"/>
        </w:rPr>
        <w:t xml:space="preserve">&amp;c., in </w:t>
      </w:r>
      <w:r>
        <w:rPr>
          <w:i/>
          <w:iCs/>
          <w:color w:val="000000"/>
          <w:spacing w:val="0"/>
          <w:w w:val="100"/>
          <w:position w:val="0"/>
          <w:shd w:val="clear" w:color="auto" w:fill="auto"/>
          <w:lang w:val="fr-FR" w:eastAsia="fr-FR" w:bidi="fr-FR"/>
        </w:rPr>
        <w:t xml:space="preserve">Mém. </w:t>
      </w:r>
      <w:r>
        <w:rPr>
          <w:i/>
          <w:iCs/>
          <w:color w:val="000000"/>
          <w:spacing w:val="0"/>
          <w:w w:val="100"/>
          <w:position w:val="0"/>
          <w:shd w:val="clear" w:color="auto" w:fill="auto"/>
          <w:lang w:val="en-US" w:eastAsia="en-US" w:bidi="en-US"/>
        </w:rPr>
        <w:t xml:space="preserve">Acad. </w:t>
      </w:r>
      <w:r>
        <w:rPr>
          <w:i/>
          <w:iCs/>
          <w:color w:val="000000"/>
          <w:spacing w:val="0"/>
          <w:w w:val="100"/>
          <w:position w:val="0"/>
          <w:shd w:val="clear" w:color="auto" w:fill="auto"/>
          <w:lang w:val="de-DE" w:eastAsia="de-DE" w:bidi="de-DE"/>
        </w:rPr>
        <w:t>Sci.,</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Paris, vol. xviii., 1842 ; </w:t>
      </w:r>
      <w:r>
        <w:rPr>
          <w:color w:val="000000"/>
          <w:spacing w:val="0"/>
          <w:w w:val="100"/>
          <w:position w:val="0"/>
          <w:shd w:val="clear" w:color="auto" w:fill="auto"/>
          <w:lang w:val="el-GR" w:eastAsia="el-GR" w:bidi="el-GR"/>
        </w:rPr>
        <w:t>(</w:t>
      </w:r>
      <w:r>
        <w:rPr>
          <w:i/>
          <w:iCs/>
          <w:color w:val="000000"/>
          <w:spacing w:val="0"/>
          <w:w w:val="100"/>
          <w:position w:val="0"/>
          <w:shd w:val="clear" w:color="auto" w:fill="auto"/>
          <w:lang w:val="el-GR" w:eastAsia="el-GR" w:bidi="el-GR"/>
        </w:rPr>
        <w:t>6</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Schmidt, </w:t>
      </w:r>
      <w:r>
        <w:rPr>
          <w:i/>
          <w:iCs/>
          <w:color w:val="000000"/>
          <w:spacing w:val="0"/>
          <w:w w:val="100"/>
          <w:position w:val="0"/>
          <w:shd w:val="clear" w:color="auto" w:fill="auto"/>
          <w:lang w:val="de-DE" w:eastAsia="de-DE" w:bidi="de-DE"/>
        </w:rPr>
        <w:t xml:space="preserve">Zur </w:t>
      </w:r>
      <w:r>
        <w:rPr>
          <w:i/>
          <w:iCs/>
          <w:color w:val="000000"/>
          <w:spacing w:val="0"/>
          <w:w w:val="100"/>
          <w:position w:val="0"/>
          <w:shd w:val="clear" w:color="auto" w:fill="auto"/>
          <w:lang w:val="en-US" w:eastAsia="en-US" w:bidi="en-US"/>
        </w:rPr>
        <w:t xml:space="preserve">νergl. Physiol. d. </w:t>
      </w:r>
      <w:r>
        <w:rPr>
          <w:i/>
          <w:iCs/>
          <w:color w:val="000000"/>
          <w:spacing w:val="0"/>
          <w:w w:val="100"/>
          <w:position w:val="0"/>
          <w:shd w:val="clear" w:color="auto" w:fill="auto"/>
          <w:lang w:val="de-DE" w:eastAsia="de-DE" w:bidi="de-DE"/>
        </w:rPr>
        <w:t xml:space="preserve">wirbellos. </w:t>
      </w:r>
      <w:r>
        <w:rPr>
          <w:i/>
          <w:iCs/>
          <w:color w:val="000000"/>
          <w:spacing w:val="0"/>
          <w:w w:val="100"/>
          <w:position w:val="0"/>
          <w:shd w:val="clear" w:color="auto" w:fill="auto"/>
          <w:lang w:val="en-US" w:eastAsia="en-US" w:bidi="en-US"/>
        </w:rPr>
        <w:t>Thiere,</w:t>
      </w:r>
      <w:r>
        <w:rPr>
          <w:color w:val="000000"/>
          <w:spacing w:val="0"/>
          <w:w w:val="100"/>
          <w:position w:val="0"/>
          <w:shd w:val="clear" w:color="auto" w:fill="auto"/>
          <w:lang w:val="en-US" w:eastAsia="en-US" w:bidi="en-US"/>
        </w:rPr>
        <w:t xml:space="preserve"> Bruns-</w:t>
      </w:r>
    </w:p>
    <w:p>
      <w:pPr>
        <w:pStyle w:val="Style18"/>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lang w:val="en-US" w:eastAsia="en-US" w:bidi="en-US"/>
        </w:rPr>
        <w:t xml:space="preserve">@@@1 By Dohrn and others their point of origin is placed considerably further up on the stem of the </w:t>
      </w:r>
      <w:r>
        <w:rPr>
          <w:i/>
          <w:iCs/>
          <w:color w:val="000000"/>
          <w:spacing w:val="0"/>
          <w:w w:val="100"/>
          <w:position w:val="0"/>
          <w:shd w:val="clear" w:color="auto" w:fill="auto"/>
          <w:lang w:val="en-US" w:eastAsia="en-US" w:bidi="en-US"/>
        </w:rPr>
        <w:t>Chordata,</w:t>
      </w:r>
      <w:r>
        <w:rPr>
          <w:color w:val="000000"/>
          <w:spacing w:val="0"/>
          <w:w w:val="100"/>
          <w:position w:val="0"/>
          <w:shd w:val="clear" w:color="auto" w:fill="auto"/>
          <w:lang w:val="en-US" w:eastAsia="en-US" w:bidi="en-US"/>
        </w:rPr>
        <w:t xml:space="preserve"> thus causing the </w:t>
      </w:r>
      <w:r>
        <w:rPr>
          <w:i/>
          <w:iCs/>
          <w:color w:val="000000"/>
          <w:spacing w:val="0"/>
          <w:w w:val="100"/>
          <w:position w:val="0"/>
          <w:shd w:val="clear" w:color="auto" w:fill="auto"/>
          <w:lang w:val="la-001" w:eastAsia="la-001" w:bidi="la-001"/>
        </w:rPr>
        <w:t>Tunicata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to be regarded as very degenerate </w:t>
      </w:r>
      <w:r>
        <w:rPr>
          <w:i/>
          <w:iCs/>
          <w:color w:val="000000"/>
          <w:spacing w:val="0"/>
          <w:w w:val="100"/>
          <w:position w:val="0"/>
          <w:shd w:val="clear" w:color="auto" w:fill="auto"/>
          <w:lang w:val="la-001" w:eastAsia="la-001" w:bidi="la-001"/>
        </w:rPr>
        <w:t>Vertebrata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(see </w:t>
      </w:r>
      <w:r>
        <w:rPr>
          <w:i/>
          <w:iCs/>
          <w:color w:val="000000"/>
          <w:spacing w:val="0"/>
          <w:w w:val="100"/>
          <w:position w:val="0"/>
          <w:shd w:val="clear" w:color="auto" w:fill="auto"/>
          <w:lang w:val="en-US" w:eastAsia="en-US" w:bidi="en-US"/>
        </w:rPr>
        <w:t>32).</w:t>
      </w:r>
    </w:p>
    <w:sectPr>
      <w:footnotePr>
        <w:pos w:val="pageBottom"/>
        <w:numFmt w:val="decimal"/>
        <w:numRestart w:val="continuous"/>
      </w:footnotePr>
      <w:pgSz w:w="12240" w:h="20160"/>
      <w:pgMar w:top="2421" w:left="1072" w:right="1007" w:bottom="255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8"/>
      <w:szCs w:val="18"/>
      <w:u w:val="none"/>
    </w:rPr>
  </w:style>
  <w:style w:type="character" w:customStyle="1" w:styleId="CharStyle10">
    <w:name w:val="Body text_"/>
    <w:basedOn w:val="DefaultParagraphFont"/>
    <w:link w:val="Style9"/>
    <w:rPr>
      <w:rFonts w:ascii="Times New Roman" w:eastAsia="Times New Roman" w:hAnsi="Times New Roman" w:cs="Times New Roman"/>
      <w:b w:val="0"/>
      <w:bCs w:val="0"/>
      <w:i w:val="0"/>
      <w:iCs w:val="0"/>
      <w:smallCaps w:val="0"/>
      <w:strike w:val="0"/>
      <w:sz w:val="16"/>
      <w:szCs w:val="16"/>
      <w:u w:val="none"/>
      <w:lang w:val="1024"/>
    </w:rPr>
  </w:style>
  <w:style w:type="character" w:customStyle="1" w:styleId="CharStyle19">
    <w:name w:val="Body text (12)_"/>
    <w:basedOn w:val="DefaultParagraphFont"/>
    <w:link w:val="Style18"/>
    <w:rPr>
      <w:rFonts w:ascii="Arial" w:eastAsia="Arial" w:hAnsi="Arial" w:cs="Arial"/>
      <w:b w:val="0"/>
      <w:bCs w:val="0"/>
      <w:i w:val="0"/>
      <w:iCs w:val="0"/>
      <w:smallCaps w:val="0"/>
      <w:strike w:val="0"/>
      <w:sz w:val="12"/>
      <w:szCs w:val="12"/>
      <w:u w:val="none"/>
    </w:rPr>
  </w:style>
  <w:style w:type="paragraph" w:customStyle="1" w:styleId="Style3">
    <w:name w:val="Body text (2)"/>
    <w:basedOn w:val="Normal"/>
    <w:link w:val="CharStyle4"/>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 w:type="paragraph" w:styleId="Style9">
    <w:name w:val="Body text"/>
    <w:basedOn w:val="Normal"/>
    <w:link w:val="CharStyle10"/>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lang w:val="1024"/>
    </w:rPr>
  </w:style>
  <w:style w:type="paragraph" w:customStyle="1" w:styleId="Style18">
    <w:name w:val="Body text (12)"/>
    <w:basedOn w:val="Normal"/>
    <w:link w:val="CharStyle19"/>
    <w:pPr>
      <w:widowControl w:val="0"/>
      <w:shd w:val="clear" w:color="auto" w:fill="FFFFFF"/>
      <w:spacing w:line="226" w:lineRule="auto"/>
      <w:ind w:left="540" w:firstLine="20"/>
    </w:pPr>
    <w:rPr>
      <w:rFonts w:ascii="Arial" w:eastAsia="Arial" w:hAnsi="Arial" w:cs="Arial"/>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