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20"/>
          <w:szCs w:val="20"/>
        </w:rPr>
      </w:pPr>
      <w:r>
        <w:rPr>
          <w:color w:val="000000"/>
          <w:spacing w:val="0"/>
          <w:w w:val="100"/>
          <w:position w:val="0"/>
          <w:sz w:val="17"/>
          <w:szCs w:val="17"/>
          <w:shd w:val="clear" w:color="auto" w:fill="auto"/>
          <w:lang w:val="en-US" w:eastAsia="en-US" w:bidi="en-US"/>
        </w:rPr>
        <w:t>of the other theatre, which abutted against the long walls that defended the road from the city to the arx. Remains of an amphi</w:t>
        <w:softHyphen/>
        <w:t xml:space="preserve">theatre of no great size can be traced, dating probably from the 3d century. There is also a large </w:t>
      </w:r>
      <w:r>
        <w:rPr>
          <w:rFonts w:ascii="Arial" w:eastAsia="Arial" w:hAnsi="Arial" w:cs="Arial"/>
          <w:i/>
          <w:iCs/>
          <w:color w:val="000000"/>
          <w:spacing w:val="0"/>
          <w:w w:val="100"/>
          <w:position w:val="0"/>
          <w:sz w:val="32"/>
          <w:szCs w:val="32"/>
          <w:shd w:val="clear" w:color="auto" w:fill="auto"/>
          <w:lang w:val="en-US" w:eastAsia="en-US" w:bidi="en-US"/>
        </w:rPr>
        <w:t>piscina,</w:t>
      </w:r>
      <w:r>
        <w:rPr>
          <w:color w:val="000000"/>
          <w:spacing w:val="0"/>
          <w:w w:val="100"/>
          <w:position w:val="0"/>
          <w:sz w:val="17"/>
          <w:szCs w:val="17"/>
          <w:shd w:val="clear" w:color="auto" w:fill="auto"/>
          <w:lang w:val="en-US" w:eastAsia="en-US" w:bidi="en-US"/>
        </w:rPr>
        <w:t xml:space="preserve"> near the first-mentioned theatre. In the vicinity of Tusculum a number of interesting tombs have been discovered at various times ; some, as for example that of the </w:t>
      </w:r>
      <w:r>
        <w:rPr>
          <w:color w:val="000000"/>
          <w:spacing w:val="0"/>
          <w:w w:val="100"/>
          <w:position w:val="0"/>
          <w:sz w:val="17"/>
          <w:szCs w:val="17"/>
          <w:shd w:val="clear" w:color="auto" w:fill="auto"/>
          <w:lang w:val="la-001" w:eastAsia="la-001" w:bidi="la-001"/>
        </w:rPr>
        <w:t xml:space="preserve">Furii, </w:t>
      </w:r>
      <w:r>
        <w:rPr>
          <w:color w:val="000000"/>
          <w:spacing w:val="0"/>
          <w:w w:val="100"/>
          <w:position w:val="0"/>
          <w:sz w:val="17"/>
          <w:szCs w:val="17"/>
          <w:shd w:val="clear" w:color="auto" w:fill="auto"/>
          <w:lang w:val="en-US" w:eastAsia="en-US" w:bidi="en-US"/>
        </w:rPr>
        <w:t xml:space="preserve">contained valuable inscriptions of the 4th and 3d centuries </w:t>
      </w:r>
      <w:r>
        <w:rPr>
          <w:smallCaps/>
          <w:color w:val="000000"/>
          <w:spacing w:val="0"/>
          <w:w w:val="100"/>
          <w:position w:val="0"/>
          <w:sz w:val="20"/>
          <w:szCs w:val="20"/>
          <w:shd w:val="clear" w:color="auto" w:fill="auto"/>
          <w:lang w:val="en-US" w:eastAsia="en-US" w:bidi="en-US"/>
        </w:rPr>
        <w:t>b.c.</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city was supplied with water by the Aqua </w:t>
      </w:r>
      <w:r>
        <w:rPr>
          <w:color w:val="000000"/>
          <w:spacing w:val="0"/>
          <w:w w:val="100"/>
          <w:position w:val="0"/>
          <w:sz w:val="17"/>
          <w:szCs w:val="17"/>
          <w:shd w:val="clear" w:color="auto" w:fill="auto"/>
          <w:lang w:val="la-001" w:eastAsia="la-001" w:bidi="la-001"/>
        </w:rPr>
        <w:t xml:space="preserve">Crabra, </w:t>
      </w:r>
      <w:r>
        <w:rPr>
          <w:color w:val="000000"/>
          <w:spacing w:val="0"/>
          <w:w w:val="100"/>
          <w:position w:val="0"/>
          <w:sz w:val="17"/>
          <w:szCs w:val="17"/>
          <w:shd w:val="clear" w:color="auto" w:fill="auto"/>
          <w:lang w:val="en-US" w:eastAsia="en-US" w:bidi="en-US"/>
        </w:rPr>
        <w:t xml:space="preserve">and near it were the springs which fed two of the Roman aqueducts—the Aqua Tepula and Aqua Virgo (Front., </w:t>
      </w:r>
      <w:r>
        <w:rPr>
          <w:rFonts w:ascii="Arial" w:eastAsia="Arial" w:hAnsi="Arial" w:cs="Arial"/>
          <w:i/>
          <w:iCs/>
          <w:color w:val="000000"/>
          <w:spacing w:val="0"/>
          <w:w w:val="100"/>
          <w:position w:val="0"/>
          <w:sz w:val="32"/>
          <w:szCs w:val="32"/>
          <w:shd w:val="clear" w:color="auto" w:fill="auto"/>
          <w:lang w:val="en-US" w:eastAsia="en-US" w:bidi="en-US"/>
        </w:rPr>
        <w:t>De Aq.,</w:t>
      </w:r>
      <w:r>
        <w:rPr>
          <w:color w:val="000000"/>
          <w:spacing w:val="0"/>
          <w:w w:val="100"/>
          <w:position w:val="0"/>
          <w:sz w:val="17"/>
          <w:szCs w:val="17"/>
          <w:shd w:val="clear" w:color="auto" w:fill="auto"/>
          <w:lang w:val="en-US" w:eastAsia="en-US" w:bidi="en-US"/>
        </w:rPr>
        <w:t xml:space="preserve"> 8).</w:t>
      </w:r>
    </w:p>
    <w:p>
      <w:pPr>
        <w:pStyle w:val="Style8"/>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For further information the reader is referred to Compagni, </w:t>
      </w:r>
      <w:r>
        <w:rPr>
          <w:i/>
          <w:iCs/>
          <w:color w:val="000000"/>
          <w:spacing w:val="0"/>
          <w:w w:val="100"/>
          <w:position w:val="0"/>
          <w:shd w:val="clear" w:color="auto" w:fill="auto"/>
          <w:lang w:val="en-US" w:eastAsia="en-US" w:bidi="en-US"/>
        </w:rPr>
        <w:t xml:space="preserve">Memorie Storiche dell' </w:t>
      </w:r>
      <w:r>
        <w:rPr>
          <w:i/>
          <w:iCs/>
          <w:color w:val="000000"/>
          <w:spacing w:val="0"/>
          <w:w w:val="100"/>
          <w:position w:val="0"/>
          <w:shd w:val="clear" w:color="auto" w:fill="auto"/>
          <w:lang w:val="la-001" w:eastAsia="la-001" w:bidi="la-001"/>
        </w:rPr>
        <w:t>Antico Tusculo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Canina, </w:t>
      </w:r>
      <w:r>
        <w:rPr>
          <w:i/>
          <w:iCs/>
          <w:color w:val="000000"/>
          <w:spacing w:val="0"/>
          <w:w w:val="100"/>
          <w:position w:val="0"/>
          <w:shd w:val="clear" w:color="auto" w:fill="auto"/>
          <w:lang w:val="en-US" w:eastAsia="en-US" w:bidi="en-US"/>
        </w:rPr>
        <w:t xml:space="preserve">Descr. dell’ </w:t>
      </w:r>
      <w:r>
        <w:rPr>
          <w:i/>
          <w:iCs/>
          <w:color w:val="000000"/>
          <w:spacing w:val="0"/>
          <w:w w:val="100"/>
          <w:position w:val="0"/>
          <w:shd w:val="clear" w:color="auto" w:fill="auto"/>
          <w:lang w:val="la-001" w:eastAsia="la-001" w:bidi="la-001"/>
        </w:rPr>
        <w:t>Antico Tusculo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Gell, </w:t>
      </w:r>
      <w:r>
        <w:rPr>
          <w:i/>
          <w:iCs/>
          <w:color w:val="000000"/>
          <w:spacing w:val="0"/>
          <w:w w:val="100"/>
          <w:position w:val="0"/>
          <w:shd w:val="clear" w:color="auto" w:fill="auto"/>
          <w:lang w:val="en-US" w:eastAsia="en-US" w:bidi="en-US"/>
        </w:rPr>
        <w:t>Toρogr. of Rome and its Vicinity</w:t>
      </w:r>
      <w:r>
        <w:rPr>
          <w:color w:val="000000"/>
          <w:spacing w:val="0"/>
          <w:w w:val="100"/>
          <w:position w:val="0"/>
          <w:shd w:val="clear" w:color="auto" w:fill="auto"/>
          <w:lang w:val="en-US" w:eastAsia="en-US" w:bidi="en-US"/>
        </w:rPr>
        <w:t xml:space="preserve"> ; and Nibby, </w:t>
      </w:r>
      <w:r>
        <w:rPr>
          <w:i/>
          <w:iCs/>
          <w:color w:val="000000"/>
          <w:spacing w:val="0"/>
          <w:w w:val="100"/>
          <w:position w:val="0"/>
          <w:shd w:val="clear" w:color="auto" w:fill="auto"/>
          <w:lang w:val="en-US" w:eastAsia="en-US" w:bidi="en-US"/>
        </w:rPr>
        <w:t>Dintorni di Roma,</w:t>
      </w:r>
      <w:r>
        <w:rPr>
          <w:color w:val="000000"/>
          <w:spacing w:val="0"/>
          <w:w w:val="100"/>
          <w:position w:val="0"/>
          <w:shd w:val="clear" w:color="auto" w:fill="auto"/>
          <w:lang w:val="en-US" w:eastAsia="en-US" w:bidi="en-US"/>
        </w:rPr>
        <w:t xml:space="preserve"> vol. iii.</w:t>
      </w:r>
    </w:p>
    <w:p>
      <w:pPr>
        <w:pStyle w:val="Style11"/>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TUSSER, </w:t>
      </w:r>
      <w:r>
        <w:rPr>
          <w:smallCaps/>
          <w:color w:val="000000"/>
          <w:spacing w:val="0"/>
          <w:w w:val="100"/>
          <w:position w:val="0"/>
          <w:shd w:val="clear" w:color="auto" w:fill="auto"/>
          <w:lang w:val="en-US" w:eastAsia="en-US" w:bidi="en-US"/>
        </w:rPr>
        <w:t>Thomas (</w:t>
      </w:r>
      <w:r>
        <w:rPr>
          <w:i/>
          <w:iCs/>
          <w:smallCaps/>
          <w:color w:val="000000"/>
          <w:spacing w:val="0"/>
          <w:w w:val="100"/>
          <w:position w:val="0"/>
          <w:shd w:val="clear" w:color="auto" w:fill="auto"/>
          <w:lang w:val="en-US" w:eastAsia="en-US" w:bidi="en-US"/>
        </w:rPr>
        <w:t>c</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1527-1580), poet, was the son of William Tusser by Isabella, daughter of Thomas Smith of Rivenhall, Essex, where he was born about 1527. Not</w:t>
        <w:softHyphen/>
        <w:t>withstanding strong reluctance on his part he was sent in his early years to a music school, and became chorister in the collegiate chapel of the castle of Wallingford. He was afterwards admitted into the choir of St Paul’s, and went thence to Eton, where he was under the tuition of Nicholas Udall. In 1543 he was elected to King’s College, Cam</w:t>
        <w:softHyphen/>
        <w:t>bridge, and soon afterwards exchanged to Trinity Hall. On leaving the university he was for about ten years at court, probably in some musical capacity. He then settled as a farmer in Suffolk, near the river Stour, an employment which he seems to have regarded as combin</w:t>
        <w:softHyphen/>
        <w:t xml:space="preserve">ing the chief essentials of human felicity. Subsequently he lived successively at Ipswich, West Dereham, Norwich, and London. There he died in April 1580, and was buried in the church of -St Mildred in the Poultry. His monument was destroyed in the fire, but the quaint epitaph is preserved in Stow’s </w:t>
      </w:r>
      <w:r>
        <w:rPr>
          <w:i/>
          <w:iCs/>
          <w:color w:val="000000"/>
          <w:spacing w:val="0"/>
          <w:w w:val="100"/>
          <w:position w:val="0"/>
          <w:shd w:val="clear" w:color="auto" w:fill="auto"/>
          <w:lang w:val="en-US" w:eastAsia="en-US" w:bidi="en-US"/>
        </w:rPr>
        <w:t>Survey of London.</w:t>
      </w:r>
      <w:r>
        <w:rPr>
          <w:color w:val="000000"/>
          <w:spacing w:val="0"/>
          <w:w w:val="100"/>
          <w:position w:val="0"/>
          <w:shd w:val="clear" w:color="auto" w:fill="auto"/>
          <w:lang w:val="en-US" w:eastAsia="en-US" w:bidi="en-US"/>
        </w:rPr>
        <w:t xml:space="preserve"> A marble tablet, on which the epitaph is inscribed, has been erected to him in the church of Manningtree, Essex.</w:t>
      </w:r>
    </w:p>
    <w:p>
      <w:pPr>
        <w:pStyle w:val="Style3"/>
        <w:keepNext w:val="0"/>
        <w:keepLines w:val="0"/>
        <w:widowControl w:val="0"/>
        <w:shd w:val="clear" w:color="auto" w:fill="auto"/>
        <w:bidi w:val="0"/>
        <w:spacing w:line="16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Tusser’s poems </w:t>
      </w:r>
      <w:r>
        <w:rPr>
          <w:color w:val="000000"/>
          <w:spacing w:val="0"/>
          <w:w w:val="100"/>
          <w:position w:val="0"/>
          <w:sz w:val="17"/>
          <w:szCs w:val="17"/>
          <w:shd w:val="clear" w:color="auto" w:fill="auto"/>
          <w:lang w:val="fr-FR" w:eastAsia="fr-FR" w:bidi="fr-FR"/>
        </w:rPr>
        <w:t xml:space="preserve">on </w:t>
      </w:r>
      <w:r>
        <w:rPr>
          <w:color w:val="000000"/>
          <w:spacing w:val="0"/>
          <w:w w:val="100"/>
          <w:position w:val="0"/>
          <w:sz w:val="17"/>
          <w:szCs w:val="17"/>
          <w:shd w:val="clear" w:color="auto" w:fill="auto"/>
          <w:lang w:val="en-US" w:eastAsia="en-US" w:bidi="en-US"/>
        </w:rPr>
        <w:t xml:space="preserve">husbandry have the charm of simplicity and directness, and their practical saws were apparently relished, for in his lifetime they went through a number of editions. They are </w:t>
      </w:r>
      <w:r>
        <w:rPr>
          <w:rFonts w:ascii="Arial" w:eastAsia="Arial" w:hAnsi="Arial" w:cs="Arial"/>
          <w:i/>
          <w:iCs/>
          <w:color w:val="000000"/>
          <w:spacing w:val="0"/>
          <w:w w:val="100"/>
          <w:position w:val="0"/>
          <w:sz w:val="32"/>
          <w:szCs w:val="32"/>
          <w:shd w:val="clear" w:color="auto" w:fill="auto"/>
          <w:lang w:val="en-US" w:eastAsia="en-US" w:bidi="en-US"/>
        </w:rPr>
        <w:t>A Hundreth Good Pointes of Husbandrie,</w:t>
      </w:r>
      <w:r>
        <w:rPr>
          <w:color w:val="000000"/>
          <w:spacing w:val="0"/>
          <w:w w:val="100"/>
          <w:position w:val="0"/>
          <w:sz w:val="17"/>
          <w:szCs w:val="17"/>
          <w:shd w:val="clear" w:color="auto" w:fill="auto"/>
          <w:lang w:val="en-US" w:eastAsia="en-US" w:bidi="en-US"/>
        </w:rPr>
        <w:t xml:space="preserve"> 1557, 1561, 1562, 1564, and 1570; </w:t>
      </w:r>
      <w:r>
        <w:rPr>
          <w:rFonts w:ascii="Arial" w:eastAsia="Arial" w:hAnsi="Arial" w:cs="Arial"/>
          <w:i/>
          <w:iCs/>
          <w:color w:val="000000"/>
          <w:spacing w:val="0"/>
          <w:w w:val="100"/>
          <w:position w:val="0"/>
          <w:sz w:val="32"/>
          <w:szCs w:val="32"/>
          <w:shd w:val="clear" w:color="auto" w:fill="auto"/>
          <w:lang w:val="en-US" w:eastAsia="en-US" w:bidi="en-US"/>
        </w:rPr>
        <w:t>A Dialogue Wyuynge and Thryuynge,</w:t>
      </w:r>
      <w:r>
        <w:rPr>
          <w:color w:val="000000"/>
          <w:spacing w:val="0"/>
          <w:w w:val="100"/>
          <w:position w:val="0"/>
          <w:sz w:val="17"/>
          <w:szCs w:val="17"/>
          <w:shd w:val="clear" w:color="auto" w:fill="auto"/>
          <w:lang w:val="en-US" w:eastAsia="en-US" w:bidi="en-US"/>
        </w:rPr>
        <w:t xml:space="preserve"> 1562 ; </w:t>
      </w:r>
      <w:r>
        <w:rPr>
          <w:rFonts w:ascii="Arial" w:eastAsia="Arial" w:hAnsi="Arial" w:cs="Arial"/>
          <w:i/>
          <w:iCs/>
          <w:color w:val="000000"/>
          <w:spacing w:val="0"/>
          <w:w w:val="100"/>
          <w:position w:val="0"/>
          <w:sz w:val="32"/>
          <w:szCs w:val="32"/>
          <w:shd w:val="clear" w:color="auto" w:fill="auto"/>
          <w:lang w:val="en-US" w:eastAsia="en-US" w:bidi="en-US"/>
        </w:rPr>
        <w:t>A Hundrethe Good Pointes of Husbandrie lately married unto a Hundrethe Good Pointes of Huswifry,</w:t>
      </w:r>
      <w:r>
        <w:rPr>
          <w:color w:val="000000"/>
          <w:spacing w:val="0"/>
          <w:w w:val="100"/>
          <w:position w:val="0"/>
          <w:sz w:val="17"/>
          <w:szCs w:val="17"/>
          <w:shd w:val="clear" w:color="auto" w:fill="auto"/>
          <w:lang w:val="en-US" w:eastAsia="en-US" w:bidi="en-US"/>
        </w:rPr>
        <w:t xml:space="preserve"> 1570 ; </w:t>
      </w:r>
      <w:r>
        <w:rPr>
          <w:rFonts w:ascii="Arial" w:eastAsia="Arial" w:hAnsi="Arial" w:cs="Arial"/>
          <w:i/>
          <w:iCs/>
          <w:color w:val="000000"/>
          <w:spacing w:val="0"/>
          <w:w w:val="100"/>
          <w:position w:val="0"/>
          <w:sz w:val="32"/>
          <w:szCs w:val="32"/>
          <w:shd w:val="clear" w:color="auto" w:fill="auto"/>
          <w:lang w:val="en-US" w:eastAsia="en-US" w:bidi="en-US"/>
        </w:rPr>
        <w:t>Five Hundreth Pointes of Good Hus</w:t>
        <w:softHyphen/>
        <w:t>bandrie united to as many of Good Wiferie,</w:t>
      </w:r>
      <w:r>
        <w:rPr>
          <w:color w:val="000000"/>
          <w:spacing w:val="0"/>
          <w:w w:val="100"/>
          <w:position w:val="0"/>
          <w:sz w:val="17"/>
          <w:szCs w:val="17"/>
          <w:shd w:val="clear" w:color="auto" w:fill="auto"/>
          <w:lang w:val="en-US" w:eastAsia="en-US" w:bidi="en-US"/>
        </w:rPr>
        <w:t xml:space="preserve"> 1573, 1576, 1577, 1585, 1586, 1590, 1593, reprinted with memoir by William Mavor, 1812, by </w:t>
      </w:r>
      <w:r>
        <w:rPr>
          <w:color w:val="000000"/>
          <w:spacing w:val="0"/>
          <w:w w:val="100"/>
          <w:position w:val="0"/>
          <w:sz w:val="17"/>
          <w:szCs w:val="17"/>
          <w:shd w:val="clear" w:color="auto" w:fill="auto"/>
          <w:lang w:val="fr-FR" w:eastAsia="fr-FR" w:bidi="fr-FR"/>
        </w:rPr>
        <w:t xml:space="preserve">Auber, </w:t>
      </w:r>
      <w:r>
        <w:rPr>
          <w:color w:val="000000"/>
          <w:spacing w:val="0"/>
          <w:w w:val="100"/>
          <w:position w:val="0"/>
          <w:sz w:val="17"/>
          <w:szCs w:val="17"/>
          <w:shd w:val="clear" w:color="auto" w:fill="auto"/>
          <w:lang w:val="en-US" w:eastAsia="en-US" w:bidi="en-US"/>
        </w:rPr>
        <w:t xml:space="preserve">1873, and by the English Dialect Society, 1879. His metrical autobiography, printed in the Appendix to </w:t>
      </w:r>
      <w:r>
        <w:rPr>
          <w:rFonts w:ascii="Arial" w:eastAsia="Arial" w:hAnsi="Arial" w:cs="Arial"/>
          <w:i/>
          <w:iCs/>
          <w:color w:val="000000"/>
          <w:spacing w:val="0"/>
          <w:w w:val="100"/>
          <w:position w:val="0"/>
          <w:sz w:val="32"/>
          <w:szCs w:val="32"/>
          <w:shd w:val="clear" w:color="auto" w:fill="auto"/>
          <w:lang w:val="en-US" w:eastAsia="en-US" w:bidi="en-US"/>
        </w:rPr>
        <w:t>Five Hundreth Pointes,</w:t>
      </w:r>
      <w:r>
        <w:rPr>
          <w:color w:val="000000"/>
          <w:spacing w:val="0"/>
          <w:w w:val="100"/>
          <w:position w:val="0"/>
          <w:sz w:val="17"/>
          <w:szCs w:val="17"/>
          <w:shd w:val="clear" w:color="auto" w:fill="auto"/>
          <w:lang w:val="en-US" w:eastAsia="en-US" w:bidi="en-US"/>
        </w:rPr>
        <w:t xml:space="preserve"> 1573, was republished in 1846 along with his will, which would seem to refute the sarcasms which became current, that he had not been successful in practising his own maxims. One of these references is contained in a volume of epigrams by H. P., </w:t>
      </w:r>
      <w:r>
        <w:rPr>
          <w:rFonts w:ascii="Arial" w:eastAsia="Arial" w:hAnsi="Arial" w:cs="Arial"/>
          <w:i/>
          <w:iCs/>
          <w:color w:val="000000"/>
          <w:spacing w:val="0"/>
          <w:w w:val="100"/>
          <w:position w:val="0"/>
          <w:sz w:val="32"/>
          <w:szCs w:val="32"/>
          <w:shd w:val="clear" w:color="auto" w:fill="auto"/>
          <w:lang w:val="en-US" w:eastAsia="en-US" w:bidi="en-US"/>
        </w:rPr>
        <w:t>The More the Merrier,</w:t>
      </w:r>
      <w:r>
        <w:rPr>
          <w:color w:val="000000"/>
          <w:spacing w:val="0"/>
          <w:w w:val="100"/>
          <w:position w:val="0"/>
          <w:sz w:val="17"/>
          <w:szCs w:val="17"/>
          <w:shd w:val="clear" w:color="auto" w:fill="auto"/>
          <w:lang w:val="en-US" w:eastAsia="en-US" w:bidi="en-US"/>
        </w:rPr>
        <w:t xml:space="preserve"> 1608. One of the epigrams entitled </w:t>
      </w:r>
      <w:r>
        <w:rPr>
          <w:i/>
          <w:iCs/>
          <w:color w:val="000000"/>
          <w:spacing w:val="0"/>
          <w:w w:val="100"/>
          <w:position w:val="0"/>
          <w:sz w:val="17"/>
          <w:szCs w:val="17"/>
          <w:shd w:val="clear" w:color="auto" w:fill="auto"/>
          <w:lang w:val="en-US" w:eastAsia="en-US" w:bidi="en-US"/>
        </w:rPr>
        <w:t>Ad</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 xml:space="preserve">Tusserum, </w:t>
      </w:r>
      <w:r>
        <w:rPr>
          <w:color w:val="000000"/>
          <w:spacing w:val="0"/>
          <w:w w:val="100"/>
          <w:position w:val="0"/>
          <w:sz w:val="17"/>
          <w:szCs w:val="17"/>
          <w:shd w:val="clear" w:color="auto" w:fill="auto"/>
          <w:lang w:val="en-US" w:eastAsia="en-US" w:bidi="en-US"/>
        </w:rPr>
        <w:t>begins thus :—</w:t>
      </w:r>
    </w:p>
    <w:p>
      <w:pPr>
        <w:pStyle w:val="Style8"/>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 Tusser, they tell me, when thou </w:t>
      </w:r>
      <w:r>
        <w:rPr>
          <w:color w:val="000000"/>
          <w:spacing w:val="0"/>
          <w:w w:val="100"/>
          <w:position w:val="0"/>
          <w:shd w:val="clear" w:color="auto" w:fill="auto"/>
          <w:lang w:val="de-DE" w:eastAsia="de-DE" w:bidi="de-DE"/>
        </w:rPr>
        <w:t xml:space="preserve">wert </w:t>
      </w:r>
      <w:r>
        <w:rPr>
          <w:color w:val="000000"/>
          <w:spacing w:val="0"/>
          <w:w w:val="100"/>
          <w:position w:val="0"/>
          <w:shd w:val="clear" w:color="auto" w:fill="auto"/>
          <w:lang w:val="en-US" w:eastAsia="en-US" w:bidi="en-US"/>
        </w:rPr>
        <w:t>alive,</w:t>
      </w:r>
    </w:p>
    <w:p>
      <w:pPr>
        <w:pStyle w:val="Style8"/>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Thou, teaching thrift, thyselfe could’st never thrive.”</w:t>
      </w:r>
    </w:p>
    <w:p>
      <w:pPr>
        <w:pStyle w:val="Style3"/>
        <w:keepNext w:val="0"/>
        <w:keepLines w:val="0"/>
        <w:widowControl w:val="0"/>
        <w:shd w:val="clear" w:color="auto" w:fill="auto"/>
        <w:bidi w:val="0"/>
        <w:spacing w:line="204" w:lineRule="auto"/>
        <w:ind w:left="0" w:firstLine="0"/>
        <w:jc w:val="left"/>
        <w:rPr>
          <w:sz w:val="17"/>
          <w:szCs w:val="17"/>
        </w:rPr>
      </w:pPr>
      <w:r>
        <w:rPr>
          <w:color w:val="000000"/>
          <w:spacing w:val="0"/>
          <w:w w:val="100"/>
          <w:position w:val="0"/>
          <w:sz w:val="17"/>
          <w:szCs w:val="17"/>
          <w:shd w:val="clear" w:color="auto" w:fill="auto"/>
          <w:lang w:val="en-US" w:eastAsia="en-US" w:bidi="en-US"/>
        </w:rPr>
        <w:t>Possibly Tusser obtained the reputation of being poor from his practice of thrift ; but in any case, if his will represents his worldly condition at the time of his death, he was not in poverty in his later years.</w:t>
      </w:r>
    </w:p>
    <w:p>
      <w:pPr>
        <w:pStyle w:val="Style11"/>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TVER, a government of central Russia, on the upper Volga, bounded by Pskoff and Novgorod on the W. and N., Yaroslavl and Vladimir on the E., and Moscow and Smo</w:t>
        <w:softHyphen/>
        <w:t>lensk on the S. ; it has an area of 25,225 square miles. Lying on the southern slope of the Valdai plateau, and intersected by deep valleys, it has the aspect of a hilly region, but is in reality a plateau ranging from 800 to 1000 feet in height. Its highest parts are in the north</w:t>
        <w:softHyphen/>
        <w:t xml:space="preserve">west, where the Volga, Western </w:t>
      </w:r>
      <w:r>
        <w:rPr>
          <w:color w:val="000000"/>
          <w:spacing w:val="0"/>
          <w:w w:val="100"/>
          <w:position w:val="0"/>
          <w:shd w:val="clear" w:color="auto" w:fill="auto"/>
          <w:lang w:val="de-DE" w:eastAsia="de-DE" w:bidi="de-DE"/>
        </w:rPr>
        <w:t xml:space="preserve">Dwina, </w:t>
      </w:r>
      <w:r>
        <w:rPr>
          <w:color w:val="000000"/>
          <w:spacing w:val="0"/>
          <w:w w:val="100"/>
          <w:position w:val="0"/>
          <w:shd w:val="clear" w:color="auto" w:fill="auto"/>
          <w:lang w:val="en-US" w:eastAsia="en-US" w:bidi="en-US"/>
        </w:rPr>
        <w:t xml:space="preserve">and Msta rise in marshes and lakes. The plateau is chiefly built up of Carboniferous limestones, Lower and Upper, underlain by Devonian and Silurian deposits, which appear only in the denudations of the lower valleys. The whole is covered by a thick sheet of boulder-clay (the bottom-moraine of the Scandinavo-Russian ice-sheet) and subsequent lacustrine deposits. A number of </w:t>
      </w:r>
      <w:r>
        <w:rPr>
          <w:color w:val="000000"/>
          <w:spacing w:val="0"/>
          <w:w w:val="100"/>
          <w:position w:val="0"/>
          <w:shd w:val="clear" w:color="auto" w:fill="auto"/>
          <w:lang w:val="en-US" w:eastAsia="en-US" w:bidi="en-US"/>
        </w:rPr>
        <w:t>å</w:t>
      </w:r>
      <w:r>
        <w:rPr>
          <w:color w:val="000000"/>
          <w:spacing w:val="0"/>
          <w:w w:val="100"/>
          <w:position w:val="0"/>
          <w:shd w:val="clear" w:color="auto" w:fill="auto"/>
          <w:lang w:val="fr-FR" w:eastAsia="fr-FR" w:bidi="fr-FR"/>
        </w:rPr>
        <w:t xml:space="preserve">sar </w:t>
      </w:r>
      <w:r>
        <w:rPr>
          <w:color w:val="000000"/>
          <w:spacing w:val="0"/>
          <w:w w:val="100"/>
          <w:position w:val="0"/>
          <w:shd w:val="clear" w:color="auto" w:fill="auto"/>
          <w:lang w:val="en-US" w:eastAsia="en-US" w:bidi="en-US"/>
        </w:rPr>
        <w:t xml:space="preserve">(see vol. x. p. 368) occur on the slopes of the plateau. Ochre, brick, and pottery clays, as also limestone for building, are obtained, and there are </w:t>
      </w:r>
      <w:r>
        <w:rPr>
          <w:color w:val="000000"/>
          <w:spacing w:val="0"/>
          <w:w w:val="100"/>
          <w:position w:val="0"/>
          <w:shd w:val="clear" w:color="auto" w:fill="auto"/>
          <w:lang w:val="en-US" w:eastAsia="en-US" w:bidi="en-US"/>
        </w:rPr>
        <w:t>chalybeate springs. The soil, which is clayey for the most part, is not fertile as a rule.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Nearly the whole of Tver is watered by the upper Volga (350 miles) and its tributaries, several of which (Vazuza, Dubna, Sestra, Tvertsa, and the tributaries of the Mologa) are navigable. The Vyshnevo</w:t>
      </w:r>
      <w:r>
        <w:rPr>
          <w:color w:val="000000"/>
          <w:spacing w:val="0"/>
          <w:w w:val="100"/>
          <w:position w:val="0"/>
          <w:sz w:val="17"/>
          <w:szCs w:val="17"/>
          <w:shd w:val="clear" w:color="auto" w:fill="auto"/>
          <w:lang w:val="en-US" w:eastAsia="en-US" w:bidi="en-US"/>
        </w:rPr>
        <w:t>ł</w:t>
      </w:r>
      <w:r>
        <w:rPr>
          <w:color w:val="000000"/>
          <w:spacing w:val="0"/>
          <w:w w:val="100"/>
          <w:position w:val="0"/>
          <w:sz w:val="17"/>
          <w:szCs w:val="17"/>
          <w:shd w:val="clear" w:color="auto" w:fill="auto"/>
          <w:lang w:val="en-US" w:eastAsia="en-US" w:bidi="en-US"/>
        </w:rPr>
        <w:t>otsk system of canals connects the Volga (navigable some 60 miles from its source) with the Baltic, and the Tikhvin system connects the Mologa with Lake Ladoga. The Msta, which flows into Lake Ilme</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xml:space="preserve">, and its tributary the Tsna, water Tver in the north-west, and the Western </w:t>
      </w:r>
      <w:r>
        <w:rPr>
          <w:color w:val="000000"/>
          <w:spacing w:val="0"/>
          <w:w w:val="100"/>
          <w:position w:val="0"/>
          <w:sz w:val="17"/>
          <w:szCs w:val="17"/>
          <w:shd w:val="clear" w:color="auto" w:fill="auto"/>
          <w:lang w:val="de-DE" w:eastAsia="de-DE" w:bidi="de-DE"/>
        </w:rPr>
        <w:t xml:space="preserve">Dwina </w:t>
      </w:r>
      <w:r>
        <w:rPr>
          <w:color w:val="000000"/>
          <w:spacing w:val="0"/>
          <w:w w:val="100"/>
          <w:position w:val="0"/>
          <w:sz w:val="17"/>
          <w:szCs w:val="17"/>
          <w:shd w:val="clear" w:color="auto" w:fill="auto"/>
          <w:lang w:val="en-US" w:eastAsia="en-US" w:bidi="en-US"/>
        </w:rPr>
        <w:t>rises in Ostashkoff. This network of rivers highly favours navigation : as many as 3000 boats yearly pass through the Vyshnevo</w:t>
      </w:r>
      <w:r>
        <w:rPr>
          <w:color w:val="000000"/>
          <w:spacing w:val="0"/>
          <w:w w:val="100"/>
          <w:position w:val="0"/>
          <w:sz w:val="17"/>
          <w:szCs w:val="17"/>
          <w:shd w:val="clear" w:color="auto" w:fill="auto"/>
          <w:lang w:val="en-US" w:eastAsia="en-US" w:bidi="en-US"/>
        </w:rPr>
        <w:t>ł</w:t>
      </w:r>
      <w:r>
        <w:rPr>
          <w:color w:val="000000"/>
          <w:spacing w:val="0"/>
          <w:w w:val="100"/>
          <w:position w:val="0"/>
          <w:sz w:val="17"/>
          <w:szCs w:val="17"/>
          <w:shd w:val="clear" w:color="auto" w:fill="auto"/>
          <w:lang w:val="en-US" w:eastAsia="en-US" w:bidi="en-US"/>
        </w:rPr>
        <w:t>otsk system, and corn, linseed, spirits, flax, hemp, timber, metals, and manufactured ware to the annual value of £1,500,000 are shipped from, or brought to, the river ports of the government. Lakes, ponds, and marshes are numerous in the west and north-west, Lake Seliger—the source of the Volga—and Lake Mstino being the most important. The forests—coniferous in the north and deciduous in the south—are rapidly disappearing, but still cover 890,000 acres. The climate is continental ; the average yearly temperature at Tver (41°</w:t>
      </w:r>
      <w:r>
        <w:rPr>
          <w:rStyle w:val="CharStyle12"/>
        </w:rPr>
        <w:t>∙</w:t>
      </w:r>
      <w:r>
        <w:rPr>
          <w:color w:val="000000"/>
          <w:spacing w:val="0"/>
          <w:w w:val="100"/>
          <w:position w:val="0"/>
          <w:sz w:val="17"/>
          <w:szCs w:val="17"/>
          <w:shd w:val="clear" w:color="auto" w:fill="auto"/>
          <w:lang w:val="en-US" w:eastAsia="en-US" w:bidi="en-US"/>
        </w:rPr>
        <w:t>5 Fahr.) is the same as that of Orel and Tamboff (January 11</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July 67</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The population (1,646,683 in 1883, as against 1,567,300 in 1872) is unequally distributed, and in the districts of Kalyazin and Kashin attains a density not much less than that of the more highly favoured black-earth provinces of south east Russia (16 and 17 per square mile). Apart from some 100,000 Karelians and a few Poles and foreigners, the people are all Great Russians. Some traces of Finnish Ves and of Lithuanians are found in the north-east and south. The official returns give the number of Raskolniks as 25,000. Only 157,110 are urban ; but agriculture is not the chief occupa</w:t>
        <w:softHyphen/>
        <w:t>tion. While barley and oats are exported, rye is imported. The crops for 1883-18'85 averaged 2,889,400 quarters of corn and 4,078,400 bushels of potatoes. Cattle-rearing does not prosper, and the in</w:t>
        <w:softHyphen/>
        <w:t xml:space="preserve">crease shown by the returns for 1883 (351,630 horses, 583,670 cattle, and 373,780 sheep) as against those of 1872 is simply due to better registration. Cheese-making has recently, been introduced on the co-operative principle (2168 cwts. of cheddar exported to Britain in 1881). The fisheries in the lakes and rivers are productive. The peasants are principally engaged in various manufactures. The total production of the larger manufactures in 1883 was valued at £2,237,250 (tanneries £244,460, cottons £803,270, distilleries £320,010, flour-mills £263,500), and that of the petty trades carried on in combination with agriculture (preparation of pitch, tar, and turpentine, boat-building, construction of cars, sledges, wheels, boxes, tubes, and wooden vessels, and cabinet-making) was estimated in 1884 at £3,000,000, giving occupation to 101,400 persons. Certain branches of the leather industry are important, Kimry and Ostash- koff sending to the market £650,000 worth of boots annually. The small workshops of Tver and the surrounding district work some 4500 cwts. of iron into nails every year, and the Ostashkoff smiths use some 7000 cwts. of iron annually in the manufacture of hatchets, scythes, sickles, and different agricultural implements. Weaving, lace-making, leather embroidery, stocking-making, felting, and the like are also important petty trades, several of these being organized on co-operative principles by the </w:t>
      </w:r>
      <w:r>
        <w:rPr>
          <w:rFonts w:ascii="Arial" w:eastAsia="Arial" w:hAnsi="Arial" w:cs="Arial"/>
          <w:i/>
          <w:iCs/>
          <w:color w:val="000000"/>
          <w:spacing w:val="0"/>
          <w:w w:val="100"/>
          <w:position w:val="0"/>
          <w:sz w:val="32"/>
          <w:szCs w:val="32"/>
          <w:shd w:val="clear" w:color="auto" w:fill="auto"/>
          <w:lang w:val="en-US" w:eastAsia="en-US" w:bidi="en-US"/>
        </w:rPr>
        <w:t>zemstvos.</w:t>
      </w:r>
      <w:r>
        <w:rPr>
          <w:color w:val="000000"/>
          <w:spacing w:val="0"/>
          <w:w w:val="100"/>
          <w:position w:val="0"/>
          <w:sz w:val="17"/>
          <w:szCs w:val="17"/>
          <w:shd w:val="clear" w:color="auto" w:fill="auto"/>
          <w:lang w:val="en-US" w:eastAsia="en-US" w:bidi="en-US"/>
        </w:rPr>
        <w:t xml:space="preserve"> The railway from St Petersburg to Moscow crosses Tver, and sends off' two branches to Rzheff and to Rybinsk, all three lines being among the busiest in Russia. The river traffic also is considerable. The chief centres of trade, besides the city of Tver, are Byezhetsk, Rzheff, Kashin, Ostashkoff, Torshok, Krasnyi Kholm, and Vesiegonsk during its fair. The provincial assembly of Tver is one of the most prominent in Russia for its efforts in the cause of education and sanitary improvement. In 1883 there were 997 primary schools with 47,680 scholars (8500 girls), 17 gymnasia and progymnasia (1697 boys and 1263 girls), and two normal schools for teachers. The government is divided into twelve districts, the chief towns of which, with their populations in 1884, are—</w:t>
      </w:r>
      <w:r>
        <w:rPr>
          <w:smallCaps/>
          <w:color w:val="000000"/>
          <w:spacing w:val="0"/>
          <w:w w:val="100"/>
          <w:position w:val="0"/>
          <w:sz w:val="20"/>
          <w:szCs w:val="20"/>
          <w:shd w:val="clear" w:color="auto" w:fill="auto"/>
          <w:lang w:val="en-US" w:eastAsia="en-US" w:bidi="en-US"/>
        </w:rPr>
        <w:t>Tver</w:t>
      </w:r>
      <w:r>
        <w:rPr>
          <w:color w:val="000000"/>
          <w:spacing w:val="0"/>
          <w:w w:val="100"/>
          <w:position w:val="0"/>
          <w:sz w:val="17"/>
          <w:szCs w:val="17"/>
          <w:shd w:val="clear" w:color="auto" w:fill="auto"/>
          <w:lang w:val="en-US" w:eastAsia="en-US" w:bidi="en-US"/>
        </w:rPr>
        <w:t xml:space="preserve"> (see below), Byezhetsk (5890), Kalyazin (5200), Kashin (5730), Kortcheva (2275), Ostashkoff (9900), Rzheff (26,480), Staritsa (2700), Torshok (12,910), Vesiegonsk (3370), Vyshniy Vototchok (11,590), and Zubtsoff (3160).</w:t>
      </w:r>
    </w:p>
    <w:p>
      <w:pPr>
        <w:pStyle w:val="Style11"/>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TVER, capital of the above government, lies 102 miles by rail to the north-west of Moscow, on both banks of the Volga (here crossed by a floating bridge) at its junction with the Tvertsa. The low right bank is protected from inundations by a dam. As a whole the town is but poorly built. The oldest church dates from 1564, and the cathedral from 1689. An imperial palace, the courts, and the post</w:t>
        <w:softHyphen/>
        <w:t>office rank among its best buildings. A public garden occupies the site of the former fortress. The population was 39,100 in 1884. The manufactures, chiefly of cotton, employ 5900 workmen (5710 at the cotton mills), and a number of nail-making workshops employ some 800 men, while more than 1000 women are engaged in the domestic</w:t>
      </w:r>
    </w:p>
    <w:sectPr>
      <w:footnotePr>
        <w:pos w:val="pageBottom"/>
        <w:numFmt w:val="decimal"/>
        <w:numRestart w:val="continuous"/>
      </w:footnotePr>
      <w:pgSz w:w="12240" w:h="20160"/>
      <w:pgMar w:top="2724" w:left="1067" w:right="1003" w:bottom="25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9">
    <w:name w:val="Body text (12)_"/>
    <w:basedOn w:val="DefaultParagraphFont"/>
    <w:link w:val="Style8"/>
    <w:rPr>
      <w:rFonts w:ascii="Arial" w:eastAsia="Arial" w:hAnsi="Arial" w:cs="Arial"/>
      <w:b w:val="0"/>
      <w:bCs w:val="0"/>
      <w:i w:val="0"/>
      <w:iCs w:val="0"/>
      <w:smallCaps w:val="0"/>
      <w:strike w:val="0"/>
      <w:sz w:val="12"/>
      <w:szCs w:val="12"/>
      <w:u w:val="none"/>
    </w:rPr>
  </w:style>
  <w:style w:type="character" w:customStyle="1" w:styleId="CharStyle12">
    <w:name w:val="Body text (11)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8">
    <w:name w:val="Body text (12)"/>
    <w:basedOn w:val="Normal"/>
    <w:link w:val="CharStyle9"/>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 w:type="paragraph" w:customStyle="1" w:styleId="Style11">
    <w:name w:val="Body text (11)"/>
    <w:basedOn w:val="Normal"/>
    <w:link w:val="CharStyle12"/>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