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vation to the presidency was thus accidental in a double sense, for he had been nominated for the vice-presidency to reconcile the extreme faction. His policy in office (see </w:t>
      </w:r>
      <w:r>
        <w:rPr>
          <w:smallCap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 was opposed to the party who nominated him and was on Democratic lines. In 1845 he was suc</w:t>
        <w:softHyphen/>
        <w:t>ceeded by Polk, and he spent the remainder of his life in retirement from active duties. He was nominated in 1861 for the lower house of the permanent congress, but died at Richmond on the 18th of the following January.</w:t>
      </w:r>
    </w:p>
    <w:p>
      <w:pPr>
        <w:pStyle w:val="Style7"/>
        <w:keepNext w:val="0"/>
        <w:keepLines w:val="0"/>
        <w:widowControl w:val="0"/>
        <w:shd w:val="clear" w:color="auto" w:fill="auto"/>
        <w:bidi w:val="0"/>
        <w:spacing w:line="25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L. G. Tyler, </w:t>
      </w:r>
      <w:r>
        <w:rPr>
          <w:rFonts w:ascii="Arial" w:eastAsia="Arial" w:hAnsi="Arial" w:cs="Arial"/>
          <w:i/>
          <w:iCs/>
          <w:color w:val="000000"/>
          <w:spacing w:val="0"/>
          <w:w w:val="100"/>
          <w:position w:val="0"/>
          <w:sz w:val="32"/>
          <w:szCs w:val="32"/>
          <w:shd w:val="clear" w:color="auto" w:fill="auto"/>
          <w:lang w:val="en-US" w:eastAsia="en-US" w:bidi="en-US"/>
        </w:rPr>
        <w:t>Life and Times of the Tylers,</w:t>
      </w:r>
      <w:r>
        <w:rPr>
          <w:color w:val="000000"/>
          <w:spacing w:val="0"/>
          <w:w w:val="100"/>
          <w:position w:val="0"/>
          <w:sz w:val="17"/>
          <w:szCs w:val="17"/>
          <w:shd w:val="clear" w:color="auto" w:fill="auto"/>
          <w:lang w:val="en-US" w:eastAsia="en-US" w:bidi="en-US"/>
        </w:rPr>
        <w:t xml:space="preserve"> 2 vols., 1884.</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TYNDALE, </w:t>
      </w:r>
      <w:r>
        <w:rPr>
          <w:smallCaps/>
          <w:color w:val="000000"/>
          <w:spacing w:val="0"/>
          <w:w w:val="100"/>
          <w:position w:val="0"/>
          <w:shd w:val="clear" w:color="auto" w:fill="auto"/>
          <w:lang w:val="en-US" w:eastAsia="en-US" w:bidi="en-US"/>
        </w:rPr>
        <w:t>William (c.</w:t>
      </w:r>
      <w:r>
        <w:rPr>
          <w:color w:val="000000"/>
          <w:spacing w:val="0"/>
          <w:w w:val="100"/>
          <w:position w:val="0"/>
          <w:shd w:val="clear" w:color="auto" w:fill="auto"/>
          <w:lang w:val="en-US" w:eastAsia="en-US" w:bidi="en-US"/>
        </w:rPr>
        <w:t xml:space="preserve"> 1484-1536), translator of the New Testament and Pentateuch (see </w:t>
      </w:r>
      <w:r>
        <w:rPr>
          <w:smallCaps/>
          <w:color w:val="000000"/>
          <w:spacing w:val="0"/>
          <w:w w:val="100"/>
          <w:position w:val="0"/>
          <w:shd w:val="clear" w:color="auto" w:fill="auto"/>
          <w:lang w:val="en-US" w:eastAsia="en-US" w:bidi="en-US"/>
        </w:rPr>
        <w:t>English Bible,</w:t>
      </w:r>
      <w:r>
        <w:rPr>
          <w:color w:val="000000"/>
          <w:spacing w:val="0"/>
          <w:w w:val="100"/>
          <w:position w:val="0"/>
          <w:shd w:val="clear" w:color="auto" w:fill="auto"/>
          <w:lang w:val="en-US" w:eastAsia="en-US" w:bidi="en-US"/>
        </w:rPr>
        <w:t xml:space="preserve"> vol. viii. pp. 384, 385), was born in Gloucestershire, possibly in the parish of Slimbridge, about the year 1484. Of his early education nothing is known ; about his twentieth year he went to Oxford, where tradition has it that he was entered of Magdalen Hall. He afterwards resided at Cambridge. Ordained to the priesthood, probably towards the close of 1521, he entered the household of Sir John Walsh, Little Sodbury, Gloucestershire, in the capacity of chaplain and domestic tutor. Here he spent two years, and in the course of his private studies began to contemplate seriously the work of translating the New Testament into English. His sympathy with the “ new learning,” which he had not concealed in conversation with the higher clergy of the neighbourhood at Sir John’s table, led to his being summoned before the chancellor of Worcester as a suspected heretic ; and “ with the goodwill of his master” he left for London in the summer of 1523. There he preached a little at St Dunstan-in-the-West, and worked at his translation, living for some months in the house of Humphrey Monmouth, an alderman ; but finding publication impossible in England he sailed for Hamburg in May 1524. After visiting Luther at Witten</w:t>
        <w:softHyphen/>
        <w:t>berg, he settled in Cologne, where he made some progress with a quarto edition of his New Testament, when the interference of the authorities of the town compelled his flight to Worms. The octavo edition (see vol. viii. p. 384) was here completed in 1526. Where Tyndale resided in the interval between 1526 and 1530—the year of publica</w:t>
        <w:softHyphen/>
        <w:t xml:space="preserve">tion of his translation of the Pentateuch—is not known ; his </w:t>
      </w:r>
      <w:r>
        <w:rPr>
          <w:i/>
          <w:iCs/>
          <w:color w:val="000000"/>
          <w:spacing w:val="0"/>
          <w:w w:val="100"/>
          <w:position w:val="0"/>
          <w:shd w:val="clear" w:color="auto" w:fill="auto"/>
          <w:lang w:val="en-US" w:eastAsia="en-US" w:bidi="en-US"/>
        </w:rPr>
        <w:t>Parable of the Wicked Mammon</w:t>
      </w:r>
      <w:r>
        <w:rPr>
          <w:color w:val="000000"/>
          <w:spacing w:val="0"/>
          <w:w w:val="100"/>
          <w:position w:val="0"/>
          <w:shd w:val="clear" w:color="auto" w:fill="auto"/>
          <w:lang w:val="en-US" w:eastAsia="en-US" w:bidi="en-US"/>
        </w:rPr>
        <w:t xml:space="preserve"> (1527), </w:t>
      </w:r>
      <w:r>
        <w:rPr>
          <w:i/>
          <w:iCs/>
          <w:color w:val="000000"/>
          <w:spacing w:val="0"/>
          <w:w w:val="100"/>
          <w:position w:val="0"/>
          <w:shd w:val="clear" w:color="auto" w:fill="auto"/>
          <w:lang w:val="en-US" w:eastAsia="en-US" w:bidi="en-US"/>
        </w:rPr>
        <w:t>Obedience of a Christian Man</w:t>
      </w:r>
      <w:r>
        <w:rPr>
          <w:color w:val="000000"/>
          <w:spacing w:val="0"/>
          <w:w w:val="100"/>
          <w:position w:val="0"/>
          <w:shd w:val="clear" w:color="auto" w:fill="auto"/>
          <w:lang w:val="en-US" w:eastAsia="en-US" w:bidi="en-US"/>
        </w:rPr>
        <w:t xml:space="preserve"> (1528), and </w:t>
      </w:r>
      <w:r>
        <w:rPr>
          <w:i/>
          <w:iCs/>
          <w:color w:val="000000"/>
          <w:spacing w:val="0"/>
          <w:w w:val="100"/>
          <w:position w:val="0"/>
          <w:shd w:val="clear" w:color="auto" w:fill="auto"/>
          <w:lang w:val="en-US" w:eastAsia="en-US" w:bidi="en-US"/>
        </w:rPr>
        <w:t>Practice of Prelates</w:t>
      </w:r>
      <w:r>
        <w:rPr>
          <w:color w:val="000000"/>
          <w:spacing w:val="0"/>
          <w:w w:val="100"/>
          <w:position w:val="0"/>
          <w:shd w:val="clear" w:color="auto" w:fill="auto"/>
          <w:lang w:val="en-US" w:eastAsia="en-US" w:bidi="en-US"/>
        </w:rPr>
        <w:t xml:space="preserve"> (1530), all bear to have been printed at “ Marlborowe in the land of Hesse” or “Marborch.” From 1530 onwards he appears to have lived chiefly in Antwerp, but of his life there hardly anything is recorded, except that as a marked man he was continually the subject of plots and intrigues, and that at last he was arrested and thrown into prison in the castle of Vilvorde, some six miles from Brussels, in 1535. Having been found guilty of heresy, he was put to death by strangling, and his body afterwards burnt at the stake on October 6, 1536.</w:t>
      </w:r>
    </w:p>
    <w:p>
      <w:pPr>
        <w:pStyle w:val="Style7"/>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rFonts w:ascii="Arial" w:eastAsia="Arial" w:hAnsi="Arial" w:cs="Arial"/>
          <w:i/>
          <w:iCs/>
          <w:color w:val="000000"/>
          <w:spacing w:val="0"/>
          <w:w w:val="100"/>
          <w:position w:val="0"/>
          <w:sz w:val="32"/>
          <w:szCs w:val="32"/>
          <w:shd w:val="clear" w:color="auto" w:fill="auto"/>
          <w:lang w:val="en-US" w:eastAsia="en-US" w:bidi="en-US"/>
        </w:rPr>
        <w:t>Works</w:t>
      </w:r>
      <w:r>
        <w:rPr>
          <w:color w:val="000000"/>
          <w:spacing w:val="0"/>
          <w:w w:val="100"/>
          <w:position w:val="0"/>
          <w:sz w:val="17"/>
          <w:szCs w:val="17"/>
          <w:shd w:val="clear" w:color="auto" w:fill="auto"/>
          <w:lang w:val="en-US" w:eastAsia="en-US" w:bidi="en-US"/>
        </w:rPr>
        <w:t xml:space="preserve"> of Tyndale were first published along with those of </w:t>
      </w:r>
      <w:r>
        <w:rPr>
          <w:rFonts w:ascii="Arial" w:eastAsia="Arial" w:hAnsi="Arial" w:cs="Arial"/>
          <w:smallCaps/>
          <w:color w:val="000000"/>
          <w:spacing w:val="0"/>
          <w:w w:val="100"/>
          <w:position w:val="0"/>
          <w:sz w:val="12"/>
          <w:szCs w:val="12"/>
          <w:shd w:val="clear" w:color="auto" w:fill="auto"/>
          <w:lang w:val="en-US" w:eastAsia="en-US" w:bidi="en-US"/>
        </w:rPr>
        <w:t xml:space="preserve">Frith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and Barnes, “three worthy Martyrs and principal Teachers of the Church of England,” by John Daye, in 1573 (folio). His </w:t>
      </w:r>
      <w:r>
        <w:rPr>
          <w:rFonts w:ascii="Arial" w:eastAsia="Arial" w:hAnsi="Arial" w:cs="Arial"/>
          <w:i/>
          <w:iCs/>
          <w:color w:val="000000"/>
          <w:spacing w:val="0"/>
          <w:w w:val="100"/>
          <w:position w:val="0"/>
          <w:sz w:val="32"/>
          <w:szCs w:val="32"/>
          <w:shd w:val="clear" w:color="auto" w:fill="auto"/>
          <w:lang w:val="en-US" w:eastAsia="en-US" w:bidi="en-US"/>
        </w:rPr>
        <w:t>Doctrinal Treatises and Introductions to Different Portions of the Holy Scripture</w:t>
      </w:r>
      <w:r>
        <w:rPr>
          <w:color w:val="000000"/>
          <w:spacing w:val="0"/>
          <w:w w:val="100"/>
          <w:position w:val="0"/>
          <w:sz w:val="17"/>
          <w:szCs w:val="17"/>
          <w:shd w:val="clear" w:color="auto" w:fill="auto"/>
          <w:lang w:val="en-US" w:eastAsia="en-US" w:bidi="en-US"/>
        </w:rPr>
        <w:t xml:space="preserve"> were published by the Parker Society in 1848. For biography, see </w:t>
      </w:r>
      <w:r>
        <w:rPr>
          <w:color w:val="000000"/>
          <w:spacing w:val="0"/>
          <w:w w:val="100"/>
          <w:position w:val="0"/>
          <w:sz w:val="17"/>
          <w:szCs w:val="17"/>
          <w:shd w:val="clear" w:color="auto" w:fill="auto"/>
          <w:lang w:val="de-DE" w:eastAsia="de-DE" w:bidi="de-DE"/>
        </w:rPr>
        <w:t xml:space="preserve">Demaus, </w:t>
      </w:r>
      <w:r>
        <w:rPr>
          <w:rFonts w:ascii="Arial" w:eastAsia="Arial" w:hAnsi="Arial" w:cs="Arial"/>
          <w:i/>
          <w:iCs/>
          <w:color w:val="000000"/>
          <w:spacing w:val="0"/>
          <w:w w:val="100"/>
          <w:position w:val="0"/>
          <w:sz w:val="32"/>
          <w:szCs w:val="32"/>
          <w:shd w:val="clear" w:color="auto" w:fill="auto"/>
          <w:lang w:val="en-US" w:eastAsia="en-US" w:bidi="en-US"/>
        </w:rPr>
        <w:t>William Tyndale</w:t>
      </w:r>
      <w:r>
        <w:rPr>
          <w:color w:val="000000"/>
          <w:spacing w:val="0"/>
          <w:w w:val="100"/>
          <w:position w:val="0"/>
          <w:sz w:val="17"/>
          <w:szCs w:val="17"/>
          <w:shd w:val="clear" w:color="auto" w:fill="auto"/>
          <w:lang w:val="en-US" w:eastAsia="en-US" w:bidi="en-US"/>
        </w:rPr>
        <w:t xml:space="preserve"> (London, 1871) ; also the Introduction to Mombert’s critical reprint of Tyndale’s Pentateuch (New York, 1884), where a full bibliography is given. There seems no reason to doubt that the translation of Joshua, Judges, Samuel, Kings, and Chronicles in Matthew’s Bible is sub</w:t>
        <w:softHyphen/>
        <w:t>stantially the work of Tyndale.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TYNE, a river in the north-east of England, is formed of two branches, the North Tyne, rising in the Cheviots on the borders of Roxburgh, and the South Tyne, rising at Tynehead Fell, at the south-eastern extremity of Cumber</w:t>
        <w:softHyphen/>
        <w:t>land. The North Tyne flows south-eastwards by Belling</w:t>
        <w:softHyphen/>
        <w:t>ham, a short distance below which it receives the Rede from the north, and 2 miles above Hexham it is joined by the South Tyne, which before the junction flows north</w:t>
        <w:softHyphen/>
      </w:r>
      <w:r>
        <w:rPr>
          <w:color w:val="000000"/>
          <w:spacing w:val="0"/>
          <w:w w:val="100"/>
          <w:position w:val="0"/>
          <w:shd w:val="clear" w:color="auto" w:fill="auto"/>
          <w:lang w:val="en-US" w:eastAsia="en-US" w:bidi="en-US"/>
        </w:rPr>
        <w:t>ward to Haltwhistle, and then eastward, receiving the Allen from the right a short distance above Haydon Bridge. The united streams then have a course of about 30 miles eastwards to the sea at Tynemouth. For a con</w:t>
        <w:softHyphen/>
        <w:t>siderable part of its course the Tyne flows through a pleasant and richly cultivated country, but in its lower reaches the presence of coal pits has almost completely robbed the scenery of its natural charms, and the former sylvan retreats of monks and abbots are now occupied by blast furnaces and shipbuilding yards, and similar scenes of busy industry, which line both banks of the river from Newcastle to the sea. The river is navigable to Blaydon for small craft, and to Newcastle, 8 miles from its mouth, for large vessels.</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coal trade of the Tyne is the most important in England, and for its general shipping trade the river ranks next in import</w:t>
        <w:softHyphen/>
        <w:t>ance to the Thames and the Mersey. The principal ports are Newcastle and North and South Shields, but below Newcastle the river is everywhere studded with piers and jetties. About a seventh of the whole tonnage of vessels built in England is built on the Tyne, the most important works being those of Jarrow. For boat-racing the Tyne vies in celebrity with the Thames.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TYNEMOUTH, a municipal and parliamentary borough of England, in Northumberland, includes the townships of Chirton, Cullercoates, North Shields, Preston, and Tyne</w:t>
        <w:softHyphen/>
        <w:t>mouth. This last, the principal watering-place on this part of the coast, is picturesquely situated on a promontory on the north side of the Tyne at its mouth. It is connected with Newcastle, 8 miles to the west-south-west, by a branch of the North-Eastern Railway ; its distance from London is 273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by rail. The town has rapidly increased within recent years, and contains many well-built streets, squares, and villas. On the point of the promontory there is a small battery called the Spanish battery, and near it a monument has been erected to Lord Collingwood. Within the grounds to which the gateway of the old castle gives entrance are the ruins of the ancient priory of St Mary and St </w:t>
      </w:r>
      <w:r>
        <w:rPr>
          <w:color w:val="000000"/>
          <w:spacing w:val="0"/>
          <w:w w:val="100"/>
          <w:position w:val="0"/>
          <w:shd w:val="clear" w:color="auto" w:fill="auto"/>
          <w:lang w:val="de-DE" w:eastAsia="de-DE" w:bidi="de-DE"/>
        </w:rPr>
        <w:t>Oswin</w:t>
      </w:r>
      <w:r>
        <w:rPr>
          <w:color w:val="000000"/>
          <w:spacing w:val="0"/>
          <w:w w:val="100"/>
          <w:position w:val="0"/>
          <w:shd w:val="clear" w:color="auto" w:fill="auto"/>
          <w:lang w:val="en-US" w:eastAsia="en-US" w:bidi="en-US"/>
        </w:rPr>
        <w:t>—the principal remains being those of the church. A pier, half a mile long, serves as a breakwater to the harbour. Among the principal public buildings are the assembly rooms and the aquarium (1872). The muni</w:t>
        <w:softHyphen/>
        <w:t>cipal buildings of the borough of Tynemouth are situated in North Shields, where are also the custom house, a master mariners’ home, a seamen’s institute, and a sailors' home founded by the late duke of Northumberland. Shipbuilding is carried on, and there are rope and sail works. The fish trade is of considerable importance and employs several steam and sailing boats. The population of the municipal and parliamentary borough of Tynemouth (incorporated in 1849 ; area 4303 acres), divided into the three wards of North Shields, Percy, and Tynemouth, was 38,941 in 1871, and 44,118 in 1881.</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Tynemouth was a fortress of the Saxons, and was anciently known as Penbal Crag, “the head of the rampart on the rock.” From remains found in 1783 it is supposed to have been a Roman station. The first church was built of wood by Edwin, king of Northumbria, about 625, and was rebuilt in stone by his successor Oswald in 634. The body of </w:t>
      </w:r>
      <w:r>
        <w:rPr>
          <w:color w:val="000000"/>
          <w:spacing w:val="0"/>
          <w:w w:val="100"/>
          <w:position w:val="0"/>
          <w:sz w:val="17"/>
          <w:szCs w:val="17"/>
          <w:shd w:val="clear" w:color="auto" w:fill="auto"/>
          <w:lang w:val="de-DE" w:eastAsia="de-DE" w:bidi="de-DE"/>
        </w:rPr>
        <w:t xml:space="preserve">Oswin, </w:t>
      </w:r>
      <w:r>
        <w:rPr>
          <w:color w:val="000000"/>
          <w:spacing w:val="0"/>
          <w:w w:val="100"/>
          <w:position w:val="0"/>
          <w:sz w:val="17"/>
          <w:szCs w:val="17"/>
          <w:shd w:val="clear" w:color="auto" w:fill="auto"/>
          <w:lang w:val="en-US" w:eastAsia="en-US" w:bidi="en-US"/>
        </w:rPr>
        <w:t>king of Deira, was brought hither for burial in 651, and on this account Tynemouth came to be in great repute as a place of burial both for royal and ecclesiastical persons. The monastery was repeatedly plundered and burnt by the Danes, especially during the 9th century. After its destruction by Healfdeane in 876 it was rebuilt by Tostig, earl of Northumberland, who endowed it with considerable revenue ; but, having been granted in 1074 to the monks of Jarrow, it became a cell of Durham. Malcolm III., king of the Scots, and his son Edward, who were slain in battle at Alnwick on 13th November 1093, were both in</w:t>
        <w:softHyphen/>
        <w:t xml:space="preserve">terred in the monastery. In 1095 Earl Mowbray, having entered into a conspiracy against William Rufus, converted the monastery into a castle, which he strongly fortified. By William Rufus the priory was conferred on St Albans abbey, Hertfordshire. It was surrendered to Henry VIII. on 12th January 1539, and the site and remains were granted by Edward VI. in 1550 to the earl of Warwick, afterwards duke of Northumberland. In 1644 the castle was taken by the Scots under the earl of </w:t>
      </w:r>
      <w:r>
        <w:rPr>
          <w:color w:val="000000"/>
          <w:spacing w:val="0"/>
          <w:w w:val="100"/>
          <w:position w:val="0"/>
          <w:sz w:val="17"/>
          <w:szCs w:val="17"/>
          <w:shd w:val="clear" w:color="auto" w:fill="auto"/>
          <w:lang w:val="de-DE" w:eastAsia="de-DE" w:bidi="de-DE"/>
        </w:rPr>
        <w:t xml:space="preserve">Leven. </w:t>
      </w:r>
      <w:r>
        <w:rPr>
          <w:color w:val="000000"/>
          <w:spacing w:val="0"/>
          <w:w w:val="100"/>
          <w:position w:val="0"/>
          <w:sz w:val="17"/>
          <w:szCs w:val="17"/>
          <w:shd w:val="clear" w:color="auto" w:fill="auto"/>
          <w:lang w:val="en-US" w:eastAsia="en-US" w:bidi="en-US"/>
        </w:rPr>
        <w:t>The town enjoyed various immunities at a very early period, which were</w:t>
      </w:r>
    </w:p>
    <w:sectPr>
      <w:footnotePr>
        <w:pos w:val="pageBottom"/>
        <w:numFmt w:val="decimal"/>
        <w:numRestart w:val="continuous"/>
      </w:footnotePr>
      <w:pgSz w:w="12240" w:h="20160"/>
      <w:pgMar w:top="2724" w:left="1067" w:right="1003" w:bottom="2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