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Dr Conrad, </w:t>
      </w:r>
      <w:r>
        <w:rPr>
          <w:color w:val="000000"/>
          <w:spacing w:val="0"/>
          <w:w w:val="100"/>
          <w:position w:val="0"/>
          <w:shd w:val="clear" w:color="auto" w:fill="auto"/>
          <w:lang w:val="la-001" w:eastAsia="la-001" w:bidi="la-001"/>
        </w:rPr>
        <w:t xml:space="preserve">professor </w:t>
      </w:r>
      <w:r>
        <w:rPr>
          <w:color w:val="000000"/>
          <w:spacing w:val="0"/>
          <w:w w:val="100"/>
          <w:position w:val="0"/>
          <w:shd w:val="clear" w:color="auto" w:fill="auto"/>
          <w:lang w:val="en-US" w:eastAsia="en-US" w:bidi="en-US"/>
        </w:rPr>
        <w:t>of political science at Halle, has recently made the statistics relating to the German uni</w:t>
        <w:softHyphen/>
        <w:t>versities the subject of a careful investigation and analysis, which offer some interesting results. The total cost of the universities of the German empire is shown to be much smaller than the total revenues of the English universities and colleges, although the number both of professors and students is much larger, and although 42 per cent. of the total expenditure is upon establishments, such as hospitals, museums, and so forth. But in Germany 72 per cent. of the cost of the universities is defrayed by the state, the students paying, in the shape of fees, only 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per cent. To a great extent, however, the German universities are to be looked upon as professional schools, giving an education which directly fits a man to earn his bread as a clergyman, a lawyer, a judge, a physician, a schoolmaster, a chemist, an engineer, or an agriculturist. Notwith</w:t>
        <w:softHyphen/>
        <w:t xml:space="preserve">standing the rapid growth in the numbers of the students, the growth of the professoriate has fully kept pace with it. In 1880 there were 1809 teachers at work in the German universities, more than half of whom (967) were full professors </w:t>
      </w:r>
      <w:r>
        <w:rPr>
          <w:color w:val="000000"/>
          <w:spacing w:val="0"/>
          <w:w w:val="100"/>
          <w:position w:val="0"/>
          <w:shd w:val="clear" w:color="auto" w:fill="auto"/>
          <w:lang w:val="la-001" w:eastAsia="la-001" w:bidi="la-001"/>
        </w:rPr>
        <w:t>(“ordinarii</w:t>
      </w:r>
      <w:r>
        <w:rPr>
          <w:color w:val="000000"/>
          <w:spacing w:val="0"/>
          <w:w w:val="100"/>
          <w:position w:val="0"/>
          <w:shd w:val="clear" w:color="auto" w:fill="auto"/>
          <w:lang w:val="en-US" w:eastAsia="en-US" w:bidi="en-US"/>
        </w:rPr>
        <w:t>”),—the proportion of teachers to students being 1 to 11. This is a much higher propor</w:t>
        <w:softHyphen/>
        <w:t>tion than that of Oxford and Cambridge, although in them there is a large staff of college lecturers, which is practic</w:t>
        <w:softHyphen/>
        <w:t xml:space="preserve">ally more important than the university staff. It is higher again than the proportion of the Scottish universities, where there are only some 105 professors to between 5000 and 6000 students, a proportion of 1 to between 50 and 60 students. The increase in Germany has taken place partly by adding on fresh teachers for the old subjects, such as Latin and Greek, but still more by founding new chairs for new subjects, such as Oriental and Romance languages, geography, and </w:t>
      </w:r>
      <w:r>
        <w:rPr>
          <w:color w:val="000000"/>
          <w:spacing w:val="0"/>
          <w:w w:val="100"/>
          <w:position w:val="0"/>
          <w:shd w:val="clear" w:color="auto" w:fill="auto"/>
          <w:lang w:val="fr-FR" w:eastAsia="fr-FR" w:bidi="fr-FR"/>
        </w:rPr>
        <w:t xml:space="preserve">archæology, </w:t>
      </w:r>
      <w:r>
        <w:rPr>
          <w:color w:val="000000"/>
          <w:spacing w:val="0"/>
          <w:w w:val="100"/>
          <w:position w:val="0"/>
          <w:shd w:val="clear" w:color="auto" w:fill="auto"/>
          <w:lang w:val="en-US" w:eastAsia="en-US" w:bidi="en-US"/>
        </w:rPr>
        <w:t>and by subdividing departments which have been recently developed, such as those con</w:t>
        <w:softHyphen/>
        <w:t>nected with political economy, political science, physiology, and biology. Owing to the great development of natural science, the faculty of philosophy has at some centres in</w:t>
        <w:softHyphen/>
        <w:t xml:space="preserve">creased to such an extent as to equal in numbers all the other faculties put together. This inconvenience has been </w:t>
      </w:r>
      <w:r>
        <w:rPr>
          <w:color w:val="000000"/>
          <w:spacing w:val="0"/>
          <w:w w:val="100"/>
          <w:position w:val="0"/>
          <w:shd w:val="clear" w:color="auto" w:fill="auto"/>
          <w:lang w:val="en-US" w:eastAsia="en-US" w:bidi="en-US"/>
        </w:rPr>
        <w:t xml:space="preserve">differently met at different universities. In those of Switzerland, no further remedy has been devised than that of appointing separate syndicates or boards of management for the two main divisions,—the philosophico-historic and the mathematical and natural-scientific ; at </w:t>
      </w:r>
      <w:r>
        <w:rPr>
          <w:color w:val="000000"/>
          <w:spacing w:val="0"/>
          <w:w w:val="100"/>
          <w:position w:val="0"/>
          <w:shd w:val="clear" w:color="auto" w:fill="auto"/>
          <w:lang w:val="de-DE" w:eastAsia="de-DE" w:bidi="de-DE"/>
        </w:rPr>
        <w:t>Dorpat, Tübin</w:t>
        <w:softHyphen/>
        <w:t xml:space="preserve">gen, </w:t>
      </w:r>
      <w:r>
        <w:rPr>
          <w:color w:val="000000"/>
          <w:spacing w:val="0"/>
          <w:w w:val="100"/>
          <w:position w:val="0"/>
          <w:shd w:val="clear" w:color="auto" w:fill="auto"/>
          <w:lang w:val="en-US" w:eastAsia="en-US" w:bidi="en-US"/>
        </w:rPr>
        <w:t xml:space="preserve">and Strasburg, on the other hand, these divisions have been represented by the formation of two distinct faculties; while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 xml:space="preserve">Munich, and </w:t>
      </w:r>
      <w:r>
        <w:rPr>
          <w:color w:val="000000"/>
          <w:spacing w:val="0"/>
          <w:w w:val="100"/>
          <w:position w:val="0"/>
          <w:shd w:val="clear" w:color="auto" w:fill="auto"/>
          <w:lang w:val="de-DE" w:eastAsia="de-DE" w:bidi="de-DE"/>
        </w:rPr>
        <w:t xml:space="preserve">Würzburg </w:t>
      </w:r>
      <w:r>
        <w:rPr>
          <w:color w:val="000000"/>
          <w:spacing w:val="0"/>
          <w:w w:val="100"/>
          <w:position w:val="0"/>
          <w:shd w:val="clear" w:color="auto" w:fill="auto"/>
          <w:lang w:val="en-US" w:eastAsia="en-US" w:bidi="en-US"/>
        </w:rPr>
        <w:t>have created, in addition, a third faculty under which are grouped the several subjects of political economy, statis</w:t>
        <w:softHyphen/>
        <w:t>tics, and finance.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table (taken from Conrad) exhibits the average of the total number of matriculated students at the German universi</w:t>
        <w:softHyphen/>
        <w:t>ties for every five years from 1831 to 1884; it brings the tendency to form large centres very forcibly before the view. The three largest centres—Berlin, Leipsic, Munich—even in the first quinquennium appear as absorbing no less than 35 per cent, of the students, and in the last as many as 42 per cent. At the same time, there has lately been a no less notable increase among the centres of second magnitude. A quarter of a century ago only two universities had more than a thousand students ; at present there are nine.</w:t>
      </w:r>
    </w:p>
    <w:tbl>
      <w:tblPr>
        <w:tblOverlap w:val="never"/>
        <w:jc w:val="left"/>
        <w:tblLayout w:type="fixed"/>
      </w:tblPr>
      <w:tblGrid>
        <w:gridCol w:w="811"/>
        <w:gridCol w:w="327"/>
        <w:gridCol w:w="334"/>
        <w:gridCol w:w="327"/>
        <w:gridCol w:w="334"/>
        <w:gridCol w:w="302"/>
        <w:gridCol w:w="351"/>
        <w:gridCol w:w="323"/>
        <w:gridCol w:w="327"/>
        <w:gridCol w:w="334"/>
        <w:gridCol w:w="334"/>
        <w:gridCol w:w="299"/>
      </w:tblGrid>
      <w:tr>
        <w:trPr>
          <w:trHeight w:val="59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1831-36.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1836-41.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1841-46.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1846-51.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18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1851-56.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18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1856-61.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18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1861-66.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18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1866-71.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1871-76.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18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1876-81.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312"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1883-84.</w:t>
            </w:r>
          </w:p>
        </w:tc>
      </w:tr>
      <w:tr>
        <w:trPr>
          <w:trHeight w:val="16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1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Berlin</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1820</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1762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1715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1461</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1599</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1593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1972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2218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1948</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3102</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4867</w:t>
            </w:r>
          </w:p>
        </w:tc>
      </w:tr>
      <w:tr>
        <w:trPr>
          <w:trHeight w:val="123"/>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7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Breslau</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1037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1279</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1479</w:t>
            </w:r>
          </w:p>
        </w:tc>
      </w:tr>
      <w:tr>
        <w:trPr>
          <w:trHeight w:val="10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71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Halle</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712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671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710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968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1017</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1544</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Greifswald...</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538</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725</w:t>
            </w:r>
          </w:p>
        </w:tc>
      </w:tr>
      <w:tr>
        <w:trPr>
          <w:trHeight w:val="130"/>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Königsberg..</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909</w:t>
            </w:r>
          </w:p>
        </w:tc>
      </w:tr>
      <w:tr>
        <w:trPr>
          <w:trHeight w:val="102"/>
        </w:trPr>
        <w:tc>
          <w:tcPr>
            <w:tcBorders>
              <w:left w:val="single" w:sz="4"/>
            </w:tcBorders>
            <w:shd w:val="clear" w:color="auto" w:fill="FFFFFF"/>
            <w:vAlign w:val="bottom"/>
          </w:tcPr>
          <w:p>
            <w:pPr>
              <w:pStyle w:val="Style11"/>
              <w:keepNext w:val="0"/>
              <w:keepLines w:val="0"/>
              <w:widowControl w:val="0"/>
              <w:shd w:val="clear" w:color="auto" w:fill="auto"/>
              <w:tabs>
                <w:tab w:leader="dot" w:pos="71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Bonn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944</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1037</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1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Münster</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280</w:t>
            </w:r>
          </w:p>
        </w:tc>
      </w:tr>
      <w:tr>
        <w:trPr>
          <w:trHeight w:val="130"/>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Göttingen....</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676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1064</w:t>
            </w:r>
          </w:p>
        </w:tc>
      </w:tr>
      <w:tr>
        <w:trPr>
          <w:trHeight w:val="109"/>
        </w:trPr>
        <w:tc>
          <w:tcPr>
            <w:tcBorders>
              <w:left w:val="single" w:sz="4"/>
            </w:tcBorders>
            <w:shd w:val="clear" w:color="auto" w:fill="FFFFFF"/>
            <w:vAlign w:val="top"/>
          </w:tcPr>
          <w:p>
            <w:pPr>
              <w:pStyle w:val="Style11"/>
              <w:keepNext w:val="0"/>
              <w:keepLines w:val="0"/>
              <w:widowControl w:val="0"/>
              <w:shd w:val="clear" w:color="auto" w:fill="auto"/>
              <w:tabs>
                <w:tab w:leader="dot" w:pos="7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Marburg</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720</w:t>
            </w:r>
          </w:p>
        </w:tc>
      </w:tr>
      <w:tr>
        <w:trPr>
          <w:trHeight w:val="130"/>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70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Kiel</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262</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352</w:t>
            </w:r>
          </w:p>
        </w:tc>
      </w:tr>
      <w:tr>
        <w:trPr>
          <w:trHeight w:val="102"/>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71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Munich</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1556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1392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1329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1695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1700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1292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1245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1142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1582</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2468</w:t>
            </w:r>
          </w:p>
        </w:tc>
      </w:tr>
      <w:tr>
        <w:trPr>
          <w:trHeight w:val="130"/>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Würzburg....</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1167</w:t>
            </w:r>
          </w:p>
        </w:tc>
      </w:tr>
      <w:tr>
        <w:trPr>
          <w:trHeight w:val="102"/>
        </w:trPr>
        <w:tc>
          <w:tcPr>
            <w:tcBorders>
              <w:left w:val="single" w:sz="4"/>
            </w:tcBorders>
            <w:shd w:val="clear" w:color="auto" w:fill="FFFFFF"/>
            <w:vAlign w:val="bottom"/>
          </w:tcPr>
          <w:p>
            <w:pPr>
              <w:pStyle w:val="Style11"/>
              <w:keepNext w:val="0"/>
              <w:keepLines w:val="0"/>
              <w:widowControl w:val="0"/>
              <w:shd w:val="clear" w:color="auto" w:fill="auto"/>
              <w:tabs>
                <w:tab w:leader="dot" w:pos="71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Erlangen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0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Tübingen</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889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1076</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1217</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Heidelberg...</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632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643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732</w:t>
            </w:r>
          </w:p>
        </w:tc>
      </w:tr>
      <w:tr>
        <w:trPr>
          <w:trHeight w:val="130"/>
        </w:trPr>
        <w:tc>
          <w:tcPr>
            <w:tcBorders>
              <w:left w:val="single" w:sz="4"/>
            </w:tcBorders>
            <w:shd w:val="clear" w:color="auto" w:fill="FFFFFF"/>
            <w:vAlign w:val="bottom"/>
          </w:tcPr>
          <w:p>
            <w:pPr>
              <w:pStyle w:val="Style11"/>
              <w:keepNext w:val="0"/>
              <w:keepLines w:val="0"/>
              <w:widowControl w:val="0"/>
              <w:shd w:val="clear" w:color="auto" w:fill="auto"/>
              <w:tabs>
                <w:tab w:leader="dot" w:pos="71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Freiburg</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426</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615</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71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Leipsic</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1145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1433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2686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3044</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3433</w:t>
            </w:r>
          </w:p>
        </w:tc>
      </w:tr>
      <w:tr>
        <w:trPr>
          <w:trHeight w:val="112"/>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72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Jena</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491</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566</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71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Giessen</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497</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7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Rostock</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176</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232</w:t>
            </w:r>
          </w:p>
        </w:tc>
      </w:tr>
      <w:tr>
        <w:trPr>
          <w:trHeight w:val="207"/>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Strasburg....</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587</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713</w:t>
            </w:r>
          </w:p>
        </w:tc>
        <w:tc>
          <w:tcPr>
            <w:tcBorders>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844</w:t>
            </w:r>
          </w:p>
        </w:tc>
      </w:tr>
    </w:tbl>
    <w:p>
      <w:pPr>
        <w:pStyle w:val="Style8"/>
        <w:keepNext w:val="0"/>
        <w:keepLines w:val="0"/>
        <w:widowControl w:val="0"/>
        <w:shd w:val="clear" w:color="auto" w:fill="auto"/>
        <w:bidi w:val="0"/>
        <w:ind w:left="0" w:firstLine="0"/>
        <w:jc w:val="both"/>
        <w:sectPr>
          <w:footnotePr>
            <w:pos w:val="pageBottom"/>
            <w:numFmt w:val="decimal"/>
            <w:numRestart w:val="continuous"/>
          </w:footnotePr>
          <w:pgSz w:w="12240" w:h="16840"/>
          <w:pgMar w:top="1648" w:left="1637" w:right="1429" w:bottom="1817" w:header="0" w:footer="3" w:gutter="0"/>
          <w:cols w:space="720"/>
          <w:noEndnote/>
          <w:rtlGutter w:val="0"/>
          <w:docGrid w:linePitch="360"/>
        </w:sectPr>
      </w:pPr>
      <w:r>
        <w:rPr>
          <w:i w:val="0"/>
          <w:iCs w:val="0"/>
          <w:color w:val="000000"/>
          <w:spacing w:val="0"/>
          <w:w w:val="100"/>
          <w:position w:val="0"/>
          <w:shd w:val="clear" w:color="auto" w:fill="auto"/>
          <w:lang w:val="en-US" w:eastAsia="en-US" w:bidi="en-US"/>
        </w:rPr>
        <w:t xml:space="preserve">The following table, taken from Ascherson’s </w:t>
      </w:r>
      <w:r>
        <w:rPr>
          <w:color w:val="000000"/>
          <w:spacing w:val="0"/>
          <w:w w:val="100"/>
          <w:position w:val="0"/>
          <w:shd w:val="clear" w:color="auto" w:fill="auto"/>
          <w:lang w:val="de-DE" w:eastAsia="de-DE" w:bidi="de-DE"/>
        </w:rPr>
        <w:t>Deutscher Univer</w:t>
        <w:softHyphen/>
        <w:t>sitäts-Kalender,</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1887, supplies the most recent statistics respecting both the teaching and the student bodies in the different faculties of the German-speaking universities on the Continent.</w:t>
      </w:r>
    </w:p>
    <w:tbl>
      <w:tblPr>
        <w:tblOverlap w:val="never"/>
        <w:jc w:val="left"/>
        <w:tblLayout w:type="fixed"/>
      </w:tblPr>
      <w:tblGrid>
        <w:gridCol w:w="1693"/>
        <w:gridCol w:w="625"/>
        <w:gridCol w:w="618"/>
        <w:gridCol w:w="618"/>
        <w:gridCol w:w="625"/>
        <w:gridCol w:w="667"/>
        <w:gridCol w:w="386"/>
        <w:gridCol w:w="499"/>
        <w:gridCol w:w="569"/>
        <w:gridCol w:w="618"/>
        <w:gridCol w:w="618"/>
        <w:gridCol w:w="731"/>
        <w:gridCol w:w="759"/>
      </w:tblGrid>
      <w:tr>
        <w:trPr>
          <w:trHeight w:val="246"/>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Universities.</w:t>
            </w:r>
          </w:p>
        </w:tc>
        <w:tc>
          <w:tcPr>
            <w:gridSpan w:val="6"/>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Professors, &amp;c.</w:t>
            </w:r>
          </w:p>
        </w:tc>
        <w:tc>
          <w:tcPr>
            <w:gridSpan w:val="6"/>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Students.</w:t>
            </w:r>
          </w:p>
        </w:tc>
      </w:tr>
      <w:tr>
        <w:trPr>
          <w:trHeight w:val="274"/>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Ordinary Professors.</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Extra</w:t>
              <w:softHyphen/>
              <w:t>ordinary Professors.</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Honorary Professors.</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Privat- docenten, Assistant Teachers, &amp;c.</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Teachers of Languages, &amp;c.</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Theology.</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Juris</w:t>
              <w:softHyphen/>
              <w:t>prudence, Political Economy, Forestry.</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Medicine, Surgery, Pharmacy.</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Philosophy, Philology, Mathema</w:t>
              <w:softHyphen/>
              <w:t>tics, &amp;c.</w:t>
            </w:r>
          </w:p>
        </w:tc>
        <w:tc>
          <w:tcPr>
            <w:vMerge w:val="restart"/>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 of Matriculated Students.</w:t>
            </w:r>
          </w:p>
        </w:tc>
      </w:tr>
      <w:tr>
        <w:trPr>
          <w:trHeight w:val="450"/>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Evan</w:t>
              <w:softHyphen/>
              <w:t>gelical.</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Catholic.</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1"/>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German Empire—</w:t>
            </w:r>
          </w:p>
          <w:p>
            <w:pPr>
              <w:pStyle w:val="Style11"/>
              <w:keepNext w:val="0"/>
              <w:keepLines w:val="0"/>
              <w:widowControl w:val="0"/>
              <w:shd w:val="clear" w:color="auto" w:fill="auto"/>
              <w:tabs>
                <w:tab w:leader="dot" w:pos="1642" w:val="left"/>
              </w:tabs>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Berlin</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296</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1282</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1297</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1984</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5357</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42"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Bonn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1121</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4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Breslau</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1347</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3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Erlangen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880</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64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Freiburg</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15 </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305</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996</w:t>
            </w:r>
          </w:p>
        </w:tc>
      </w:tr>
      <w:tr>
        <w:trPr>
          <w:trHeight w:val="112"/>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64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Giessen</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127</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484</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64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Göttingen</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424</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1041</w:t>
            </w:r>
          </w:p>
        </w:tc>
      </w:tr>
      <w:tr>
        <w:trPr>
          <w:trHeight w:val="112"/>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64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Greifswald</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923</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4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Halle</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1527</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42"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Heidelberg</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772</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4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Jena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191</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607</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3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Kiel</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169</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480</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3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Königsberg</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231</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815</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64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Leipsic</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67</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781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1040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3231</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593"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Marburg</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360</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894</w:t>
            </w:r>
          </w:p>
        </w:tc>
      </w:tr>
      <w:tr>
        <w:trPr>
          <w:trHeight w:val="112"/>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63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Munich</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1136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1350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544</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3176</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3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Münster</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312</w:t>
            </w:r>
          </w:p>
        </w:tc>
        <w:tc>
          <w:tcPr>
            <w:vMerge w:val="restart"/>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475</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63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Rostock</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100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105</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327</w:t>
            </w:r>
          </w:p>
        </w:tc>
      </w:tr>
      <w:tr>
        <w:trPr>
          <w:trHeight w:val="119"/>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642"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Strasburg</w:t>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102</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331</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848</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42"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Tübingen</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1247</w:t>
            </w:r>
          </w:p>
        </w:tc>
      </w:tr>
      <w:tr>
        <w:trPr>
          <w:trHeight w:val="112"/>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635"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Würzburg</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218</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935</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1511</w:t>
            </w:r>
          </w:p>
        </w:tc>
      </w:tr>
      <w:tr>
        <w:trPr>
          <w:trHeight w:val="232"/>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Switzerland—</w:t>
            </w:r>
          </w:p>
          <w:p>
            <w:pPr>
              <w:pStyle w:val="Style11"/>
              <w:keepNext w:val="0"/>
              <w:keepLines w:val="0"/>
              <w:widowControl w:val="0"/>
              <w:shd w:val="clear" w:color="auto" w:fill="auto"/>
              <w:tabs>
                <w:tab w:leader="dot" w:pos="1635" w:val="left"/>
              </w:tabs>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Basel</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354</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4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Bern</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96</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539</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35"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Geneva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4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Lausanne</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4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Neuchatel</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9</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35"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Zurich</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481</w:t>
            </w:r>
          </w:p>
        </w:tc>
      </w:tr>
      <w:tr>
        <w:trPr>
          <w:trHeight w:val="239"/>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Russia</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(Baltic Provinces)—</w:t>
            </w:r>
          </w:p>
          <w:p>
            <w:pPr>
              <w:pStyle w:val="Style11"/>
              <w:keepNext w:val="0"/>
              <w:keepLines w:val="0"/>
              <w:widowControl w:val="0"/>
              <w:shd w:val="clear" w:color="auto" w:fill="auto"/>
              <w:tabs>
                <w:tab w:leader="dot" w:pos="1639" w:val="left"/>
              </w:tabs>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Dorpat</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367</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1734</w:t>
            </w:r>
          </w:p>
        </w:tc>
      </w:tr>
      <w:tr>
        <w:trPr>
          <w:trHeight w:val="232"/>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591" w:val="left"/>
              </w:tabs>
              <w:bidi w:val="0"/>
              <w:spacing w:line="192" w:lineRule="auto"/>
              <w:ind w:left="360" w:hanging="360"/>
              <w:jc w:val="left"/>
              <w:rPr>
                <w:sz w:val="13"/>
                <w:szCs w:val="13"/>
              </w:rPr>
            </w:pP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 xml:space="preserve">Austria and Hungary— </w:t>
            </w:r>
            <w:r>
              <w:rPr>
                <w:rFonts w:ascii="Times New Roman" w:eastAsia="Times New Roman" w:hAnsi="Times New Roman" w:cs="Times New Roman"/>
                <w:color w:val="000000"/>
                <w:spacing w:val="0"/>
                <w:w w:val="100"/>
                <w:position w:val="0"/>
                <w:sz w:val="13"/>
                <w:szCs w:val="13"/>
                <w:shd w:val="clear" w:color="auto" w:fill="auto"/>
                <w:lang w:val="de-DE" w:eastAsia="de-DE" w:bidi="de-DE"/>
              </w:rPr>
              <w:t>Czernowitz</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213</w:t>
            </w:r>
          </w:p>
        </w:tc>
      </w:tr>
      <w:tr>
        <w:trPr>
          <w:trHeight w:val="11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3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Graz</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1193</w:t>
            </w:r>
          </w:p>
        </w:tc>
      </w:tr>
      <w:tr>
        <w:trPr>
          <w:trHeight w:val="112"/>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456" w:val="right"/>
                <w:tab w:leader="dot" w:pos="1649"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Innsbruck.</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252</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769</w:t>
            </w:r>
          </w:p>
        </w:tc>
      </w:tr>
      <w:tr>
        <w:trPr>
          <w:trHeight w:val="105"/>
        </w:trPr>
        <w:tc>
          <w:tcPr>
            <w:tcBorders>
              <w:top w:val="single" w:sz="4"/>
              <w:left w:val="single" w:sz="4"/>
            </w:tcBorders>
            <w:shd w:val="clear" w:color="auto" w:fill="FFFFFF"/>
            <w:vAlign w:val="top"/>
          </w:tcPr>
          <w:p>
            <w:pPr>
              <w:pStyle w:val="Style11"/>
              <w:keepNext w:val="0"/>
              <w:keepLines w:val="0"/>
              <w:widowControl w:val="0"/>
              <w:shd w:val="clear" w:color="auto" w:fill="auto"/>
              <w:tabs>
                <w:tab w:leader="dot" w:pos="1646"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Cracow</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r>
      <w:tr>
        <w:trPr>
          <w:trHeight w:val="133"/>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Prague(German university)</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9</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vMerge w:val="restart"/>
            <w:tcBorders>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p>
            <w:pPr>
              <w:pStyle w:val="Style11"/>
              <w:keepNext w:val="0"/>
              <w:keepLines w:val="0"/>
              <w:widowControl w:val="0"/>
              <w:shd w:val="clear" w:color="auto" w:fill="auto"/>
              <w:bidi w:val="0"/>
              <w:spacing w:line="23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2318</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9</w:t>
            </w:r>
          </w:p>
        </w:tc>
      </w:tr>
      <w:tr>
        <w:trPr>
          <w:trHeight w:val="183"/>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tabs>
                <w:tab w:leader="dot" w:pos="1663" w:val="righ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Vienna</w:t>
              <w:tab/>
            </w:r>
          </w:p>
        </w:tc>
        <w:tc>
          <w:tcPr>
            <w:tcBorders>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147</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204</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1911</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460</w:t>
            </w:r>
          </w:p>
        </w:tc>
        <w:tc>
          <w:tcPr>
            <w:tcBorders>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4893</w:t>
            </w:r>
          </w:p>
        </w:tc>
      </w:tr>
    </w:tbl>
    <w:sectPr>
      <w:footnotePr>
        <w:pos w:val="pageBottom"/>
        <w:numFmt w:val="decimal"/>
        <w:numRestart w:val="continuous"/>
      </w:footnotePr>
      <w:type w:val="continuous"/>
      <w:pgSz w:w="12240" w:h="16840"/>
      <w:pgMar w:top="1648" w:left="1637" w:right="1429" w:bottom="16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Table caption_"/>
    <w:basedOn w:val="DefaultParagraphFont"/>
    <w:link w:val="Style8"/>
    <w:rPr>
      <w:rFonts w:ascii="Times New Roman" w:eastAsia="Times New Roman" w:hAnsi="Times New Roman" w:cs="Times New Roman"/>
      <w:b w:val="0"/>
      <w:bCs w:val="0"/>
      <w:i/>
      <w:iCs/>
      <w:smallCaps w:val="0"/>
      <w:strike w:val="0"/>
      <w:sz w:val="15"/>
      <w:szCs w:val="15"/>
      <w:u w:val="none"/>
    </w:rPr>
  </w:style>
  <w:style w:type="character" w:customStyle="1" w:styleId="CharStyle12">
    <w:name w:val="Other_"/>
    <w:basedOn w:val="DefaultParagraphFont"/>
    <w:link w:val="Style11"/>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Table caption"/>
    <w:basedOn w:val="Normal"/>
    <w:link w:val="CharStyle9"/>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 w:type="paragraph" w:customStyle="1" w:styleId="Style11">
    <w:name w:val="Other"/>
    <w:basedOn w:val="Normal"/>
    <w:link w:val="CharStyle12"/>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