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British Museum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1863);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Praetorius,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Beitr. zur Erklärung der himjar. Inschr.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parts,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1872-1874); Kremer,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Süd- arabische Sage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Sprenger,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Alte Geogr. Arabiens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(1873);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 H. Müller,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Südarabische Studien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Burgen u. Schlösser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Südarabiens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parts,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1879-1881) (especially for chronology and antiquities); Mordtmann and Müller,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Sabäische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Denkmäler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(Vienna, 1883) ; Derenbourg,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Études sur l'é</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pigraphιe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Yemen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1884); Id.,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Nouυ. Étud.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(1885);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Glaser,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Mitteilungen über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 . sab. Inschr.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(1886); Hamdãní,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Geogr. d. arab.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Halbinsel,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D. H. Müller, vol. i. (Leiden, 1884). See also papers by Osiander,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Z.D.M.G.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xix.-xx. (1864-1865); Halévy,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Journ.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As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(1872-1874); D. H. Müller,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Z.D.M.G.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xxix.-xxxi.</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xxxvii.; Prideaux,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 Soc. Bibl. Arch.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(1873); Derenbourg,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Bab. and Or. Record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1887).</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Later works are: D. 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Müller,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Epigraphische Denkmäler aus Arabien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(Vienna, 1889)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E. Glaser,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Skizze der Geschichte und Geographie Arabiens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&amp;c., I Heft (Munich,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vol. ii.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1890);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Corpus inscriptionum Semiticarum.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iv., Paris. vol. i. fasc.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(1889), 2 (1892), 3 (1900), 4(1908) </w:t>
      </w:r>
      <w:r>
        <w:rPr>
          <w:rFonts w:ascii="Times New Roman" w:eastAsia="Times New Roman" w:hAnsi="Times New Roman" w:cs="Times New Roman"/>
          <w:color w:val="000000"/>
          <w:spacing w:val="0"/>
          <w:w w:val="100"/>
          <w:position w:val="0"/>
          <w:sz w:val="17"/>
          <w:szCs w:val="17"/>
          <w:shd w:val="clear" w:color="auto" w:fill="auto"/>
          <w:lang w:val="de-DE" w:eastAsia="de-DE" w:bidi="de-DE"/>
        </w:rPr>
        <w:t>; Fr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.Uοmrnc</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,AufsdtzeundAbhαndlungen(ιSg2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sqq.) ; Fr. Hommel,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Südarabische Chrestomathie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(Munich,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1893)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J. H. Mordt- mann,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Himjarische Inschriften und Altertümer in den kgl. Museen zu Berlin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1893);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 Winekler,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Altorientalische Forschungen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das Land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Muçri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 D. H. Müller,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Epigraphische Denkmäler aus Abessinien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1894);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 Glaser,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Abessinier in Arabien und Afrika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(Munich,1895); J.H.Mordtmann,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Musée Impérial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Ottoman,</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&amp;c.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(Constantinople, 1895);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 H. Muller,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Arabia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in Pauly-Wissowa,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Reaiencyclopädie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klassischen Altertums,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 344-359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(1897);</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J.H. Mordtmann,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Beiträge zur minäischen Epigraphik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(Weimar,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E. Glaser,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Zwei Inschriften über den Dambruch von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Mârib;</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 Müller,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Südarabische Altertümer im kunsthistorischen Hofmuseum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Lìdzbarski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Ephemeris (1901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sqq.); O. Weber,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Studien zur südarabischen Altertumskunde,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(1901-1908);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 Grimme, “Verschiedene Aufsätze” 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O.L.Z.,</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&amp;c.; D. Nielsen,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alt</w:t>
        <w:softHyphen/>
        <w:t>arabische Mondreligion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Nielsen,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N eue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Katabanische Inschriften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 Glaser,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Altjemenische Nachrichten,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vol. 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 Hartman, “Südarabisches,”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i.-viii.,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O.L.Z.</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(1907- 1908);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Mélanges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 Derenbourg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 Hartman,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arabische Frage mit einem Versuche der Archäologie Jemens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(Halle,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 Nielsen,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Der südarabische Gott Ilmekah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 Weber, “ Gottes Symbole auf südarabischen Denkmälern ”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Hilprecht- Buch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(1909), 269-280;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cf.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Arabia,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Axum.</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lexical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material, in so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far as it touches the Hebrew, was in- corporated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Müller in the 1oth-12th edition of the Gesenius Lexicon and is now incorporated by O. Weber in the 15th edition of the Gcsenius-Buhl Lexicon. For collected literature see: up to 1892, F. Hommel’s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Südarabische Chrestomathie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1892 to 1907, O. </w:t>
      </w:r>
      <w:r>
        <w:rPr>
          <w:rFonts w:ascii="Times New Roman" w:eastAsia="Times New Roman" w:hAnsi="Times New Roman" w:cs="Times New Roman"/>
          <w:color w:val="000000"/>
          <w:spacing w:val="0"/>
          <w:w w:val="100"/>
          <w:position w:val="0"/>
          <w:sz w:val="17"/>
          <w:szCs w:val="17"/>
          <w:shd w:val="clear" w:color="auto" w:fill="auto"/>
          <w:lang w:val="de-DE" w:eastAsia="de-DE" w:bidi="de-DE"/>
        </w:rPr>
        <w:t>Weber’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Studien zur südarabischen Altertumskunde, </w:t>
      </w:r>
      <w:r>
        <w:rPr>
          <w:rFonts w:ascii="Times New Roman" w:eastAsia="Times New Roman" w:hAnsi="Times New Roman" w:cs="Times New Roman"/>
          <w:color w:val="000000"/>
          <w:spacing w:val="0"/>
          <w:w w:val="100"/>
          <w:position w:val="0"/>
          <w:sz w:val="17"/>
          <w:szCs w:val="17"/>
          <w:shd w:val="clear" w:color="auto" w:fill="auto"/>
          <w:lang w:val="de-DE" w:eastAsia="de-DE" w:bidi="de-DE"/>
        </w:rPr>
        <w:t>iii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(D. H. 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SABAKI, a river </w:t>
      </w:r>
      <w:r>
        <w:rPr>
          <w:rFonts w:ascii="Times New Roman" w:eastAsia="Times New Roman" w:hAnsi="Times New Roman" w:cs="Times New Roman"/>
          <w:color w:val="000000"/>
          <w:spacing w:val="0"/>
          <w:w w:val="100"/>
          <w:position w:val="0"/>
          <w:shd w:val="clear" w:color="auto" w:fill="auto"/>
          <w:lang w:val="en-US" w:eastAsia="en-US" w:bidi="en-US"/>
        </w:rPr>
        <w:t xml:space="preserve">of British East </w:t>
      </w:r>
      <w:r>
        <w:rPr>
          <w:rFonts w:ascii="Times New Roman" w:eastAsia="Times New Roman" w:hAnsi="Times New Roman" w:cs="Times New Roman"/>
          <w:color w:val="000000"/>
          <w:spacing w:val="0"/>
          <w:w w:val="100"/>
          <w:position w:val="0"/>
          <w:shd w:val="clear" w:color="auto" w:fill="auto"/>
          <w:lang w:val="fr-FR" w:eastAsia="fr-FR" w:bidi="fr-FR"/>
        </w:rPr>
        <w:t xml:space="preserve">Africa </w:t>
      </w:r>
      <w:r>
        <w:rPr>
          <w:rFonts w:ascii="Times New Roman" w:eastAsia="Times New Roman" w:hAnsi="Times New Roman" w:cs="Times New Roman"/>
          <w:color w:val="000000"/>
          <w:spacing w:val="0"/>
          <w:w w:val="100"/>
          <w:position w:val="0"/>
          <w:shd w:val="clear" w:color="auto" w:fill="auto"/>
          <w:lang w:val="en-US" w:eastAsia="en-US" w:bidi="en-US"/>
        </w:rPr>
        <w:t>which enters the Indian Ocean in 3˚ 12' S., just north of Malinda. The Sabaki rises (as the Athi) in 1˚ 42' S., and after flowing north-east 70 m. across the Kapote and Athi plains, turns south-south-east under the wooded slopes of the Yatta ridge, which shuts in its basin on the east. In 3˚S. it turns east, and in its lower course (known as the Sabaki) traverses the sterile quartz-land of the outer plateau. The valley is in parts low and flat, covered with forest and scrub, and containing small lakes and backwaters connected with the river in the rains. At this season the stream—which rises as much as 30 ft. in places—is deep and strong and of a turbid yellow colour; but navigation is interrupted by the Lugard falls, about 100 m. from its mouth. Its total length is about 400 m. Apart from the numerous small feeders of the upper river, almost the only tributary is the Tsavo, from the east side of Kilimanjaro, which enters in about 3˚ 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SABAS, ST (439-531), a Palestinian monk, bom near Caesarea of Cappadocia. Becoming a monk in his childhood, he went to Jerusalem and lived as a hermit. After a time he established the “ Great Laura ” monastery in the neighbourhood of the Dead Sea, and later on the “ New Laura,” under St Basil’s Rule. In the Lauras the young monks lived a cenobitical life, but the elders a semi-eremitical one, each in his own hut within the precincts of the Laura, attending only the solemn church services. Sabas was made exarch or superior of all the monasteries in Palestine, and composed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Typicon </w:t>
      </w:r>
      <w:r>
        <w:rPr>
          <w:rFonts w:ascii="Times New Roman" w:eastAsia="Times New Roman" w:hAnsi="Times New Roman" w:cs="Times New Roman"/>
          <w:color w:val="000000"/>
          <w:spacing w:val="0"/>
          <w:w w:val="100"/>
          <w:position w:val="0"/>
          <w:shd w:val="clear" w:color="auto" w:fill="auto"/>
          <w:lang w:val="en-US" w:eastAsia="en-US" w:bidi="en-US"/>
        </w:rPr>
        <w:t>or Rule for their guidance. He took a prominent part, on the orthodox side, in the Monophysite and Origenistic controversies. His Laura long continued to be the most influential monastery in those parts, and produced several distinguished monks, among them St John of Damascus. It is now known as the monastery of Mar Sâba. He is commemorated on the 5th of December.</w:t>
      </w:r>
    </w:p>
    <w:p>
      <w:pPr>
        <w:pStyle w:val="Style3"/>
        <w:keepNext w:val="0"/>
        <w:keepLines w:val="0"/>
        <w:widowControl w:val="0"/>
        <w:shd w:val="clear" w:color="auto" w:fill="auto"/>
        <w:bidi w:val="0"/>
        <w:spacing w:line="16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saint of this name, surnamed “ the Goth,” suffered martyrdom at the hands of Athanaric the Visigoth in the reign of Valentinian, and he is commemorated on the 12th of April in</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Roman Martyrology, on varying days from 12th to 18th in the Greek Menologies.</w:t>
      </w:r>
    </w:p>
    <w:p>
      <w:pPr>
        <w:pStyle w:val="Style3"/>
        <w:keepNext w:val="0"/>
        <w:keepLines w:val="0"/>
        <w:widowControl w:val="0"/>
        <w:shd w:val="clear" w:color="auto" w:fill="auto"/>
        <w:tabs>
          <w:tab w:pos="4135"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Sabas’s Life was written by his disciple Cyril of Scythopolis. The chief modem authority is A. Ehrhard in Wetzer u. </w:t>
      </w:r>
      <w:r>
        <w:rPr>
          <w:rFonts w:ascii="Times New Roman" w:eastAsia="Times New Roman" w:hAnsi="Times New Roman" w:cs="Times New Roman"/>
          <w:color w:val="000000"/>
          <w:spacing w:val="0"/>
          <w:w w:val="100"/>
          <w:position w:val="0"/>
          <w:sz w:val="17"/>
          <w:szCs w:val="17"/>
          <w:shd w:val="clear" w:color="auto" w:fill="auto"/>
          <w:lang w:val="de-DE" w:eastAsia="de-DE" w:bidi="de-DE"/>
        </w:rPr>
        <w:t>Welte's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Kirchen-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lexikon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 2) 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Römische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Quartalschrift,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 see also Helyot,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Histoire des ordres religieux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(1714),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 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and Max Heimbucher,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Orden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u.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Kongregationen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(1907),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 10.</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(E. C. 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SABATIER, LOUIS AUGUSTE </w:t>
      </w:r>
      <w:r>
        <w:rPr>
          <w:rFonts w:ascii="Times New Roman" w:eastAsia="Times New Roman" w:hAnsi="Times New Roman" w:cs="Times New Roman"/>
          <w:color w:val="000000"/>
          <w:spacing w:val="0"/>
          <w:w w:val="100"/>
          <w:position w:val="0"/>
          <w:shd w:val="clear" w:color="auto" w:fill="auto"/>
          <w:lang w:val="en-US" w:eastAsia="en-US" w:bidi="en-US"/>
        </w:rPr>
        <w:t xml:space="preserve">(1839-1901), French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 </w:t>
      </w:r>
      <w:r>
        <w:rPr>
          <w:rFonts w:ascii="Times New Roman" w:eastAsia="Times New Roman" w:hAnsi="Times New Roman" w:cs="Times New Roman"/>
          <w:color w:val="000000"/>
          <w:spacing w:val="0"/>
          <w:w w:val="100"/>
          <w:position w:val="0"/>
          <w:shd w:val="clear" w:color="auto" w:fill="auto"/>
          <w:lang w:val="en-US" w:eastAsia="en-US" w:bidi="en-US"/>
        </w:rPr>
        <w:t xml:space="preserve">theologian,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Vallon (Ardèche),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fr-FR" w:eastAsia="fr-FR" w:bidi="fr-FR"/>
        </w:rPr>
        <w:t xml:space="preserve">Cévennes, </w:t>
      </w:r>
      <w:r>
        <w:rPr>
          <w:rFonts w:ascii="Times New Roman" w:eastAsia="Times New Roman" w:hAnsi="Times New Roman" w:cs="Times New Roman"/>
          <w:color w:val="000000"/>
          <w:spacing w:val="0"/>
          <w:w w:val="100"/>
          <w:position w:val="0"/>
          <w:shd w:val="clear" w:color="auto" w:fill="auto"/>
          <w:lang w:val="en-US" w:eastAsia="en-US" w:bidi="en-US"/>
        </w:rPr>
        <w:t xml:space="preserve">on the 22nd of October 1839, and was educated at the Protestant theological faculty of Montauban and the universities of Tübingen and Heidelberg. After holding the pastorate at Aubenas in the </w:t>
      </w:r>
      <w:r>
        <w:rPr>
          <w:rFonts w:ascii="Times New Roman" w:eastAsia="Times New Roman" w:hAnsi="Times New Roman" w:cs="Times New Roman"/>
          <w:color w:val="000000"/>
          <w:spacing w:val="0"/>
          <w:w w:val="100"/>
          <w:position w:val="0"/>
          <w:shd w:val="clear" w:color="auto" w:fill="auto"/>
          <w:lang w:val="fr-FR" w:eastAsia="fr-FR" w:bidi="fr-FR"/>
        </w:rPr>
        <w:t xml:space="preserve">Ardèche </w:t>
      </w:r>
      <w:r>
        <w:rPr>
          <w:rFonts w:ascii="Times New Roman" w:eastAsia="Times New Roman" w:hAnsi="Times New Roman" w:cs="Times New Roman"/>
          <w:color w:val="000000"/>
          <w:spacing w:val="0"/>
          <w:w w:val="100"/>
          <w:position w:val="0"/>
          <w:shd w:val="clear" w:color="auto" w:fill="auto"/>
          <w:lang w:val="en-US" w:eastAsia="en-US" w:bidi="en-US"/>
        </w:rPr>
        <w:t xml:space="preserve">from 1864 to 1868 he was appointed professor of reformed dogmatics in the theological faculty of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His markedly French sympathies during the war of 1870 led to his expulsion from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in 1872. After five years’ effort he succeeded in establishing a Protestant theological faculty in Paris, and became professor and then dean. In 1886 he became a teacher in the newly founded reIigious science department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des Hautes </w:t>
      </w:r>
      <w:r>
        <w:rPr>
          <w:rFonts w:ascii="Times New Roman" w:eastAsia="Times New Roman" w:hAnsi="Times New Roman" w:cs="Times New Roman"/>
          <w:color w:val="000000"/>
          <w:spacing w:val="0"/>
          <w:w w:val="100"/>
          <w:position w:val="0"/>
          <w:shd w:val="clear" w:color="auto" w:fill="auto"/>
          <w:lang w:val="en-US" w:eastAsia="en-US" w:bidi="en-US"/>
        </w:rPr>
        <w:t xml:space="preserve">Etudes of the </w:t>
      </w:r>
      <w:r>
        <w:rPr>
          <w:rFonts w:ascii="Times New Roman" w:eastAsia="Times New Roman" w:hAnsi="Times New Roman" w:cs="Times New Roman"/>
          <w:color w:val="000000"/>
          <w:spacing w:val="0"/>
          <w:w w:val="100"/>
          <w:position w:val="0"/>
          <w:shd w:val="clear" w:color="auto" w:fill="auto"/>
          <w:lang w:val="fr-FR" w:eastAsia="fr-FR" w:bidi="fr-FR"/>
        </w:rPr>
        <w:t xml:space="preserve">Sorbonne. </w:t>
      </w:r>
      <w:r>
        <w:rPr>
          <w:rFonts w:ascii="Times New Roman" w:eastAsia="Times New Roman" w:hAnsi="Times New Roman" w:cs="Times New Roman"/>
          <w:color w:val="000000"/>
          <w:spacing w:val="0"/>
          <w:w w:val="100"/>
          <w:position w:val="0"/>
          <w:shd w:val="clear" w:color="auto" w:fill="auto"/>
          <w:lang w:val="en-US" w:eastAsia="en-US" w:bidi="en-US"/>
        </w:rPr>
        <w:t xml:space="preserve">Among his chief works were </w:t>
      </w:r>
      <w:r>
        <w:rPr>
          <w:rFonts w:ascii="Times New Roman" w:eastAsia="Times New Roman" w:hAnsi="Times New Roman" w:cs="Times New Roman"/>
          <w:i/>
          <w:iCs/>
          <w:color w:val="000000"/>
          <w:spacing w:val="0"/>
          <w:w w:val="100"/>
          <w:position w:val="0"/>
          <w:shd w:val="clear" w:color="auto" w:fill="auto"/>
          <w:lang w:val="en-US" w:eastAsia="en-US" w:bidi="en-US"/>
        </w:rPr>
        <w:t>The Apostle Paul</w:t>
      </w:r>
      <w:r>
        <w:rPr>
          <w:rFonts w:ascii="Times New Roman" w:eastAsia="Times New Roman" w:hAnsi="Times New Roman" w:cs="Times New Roman"/>
          <w:color w:val="000000"/>
          <w:spacing w:val="0"/>
          <w:w w:val="100"/>
          <w:position w:val="0"/>
          <w:shd w:val="clear" w:color="auto" w:fill="auto"/>
          <w:lang w:val="en-US" w:eastAsia="en-US" w:bidi="en-US"/>
        </w:rPr>
        <w:t xml:space="preserve"> (3rd ed., 1896) ;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 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notion </w:t>
      </w:r>
      <w:r>
        <w:rPr>
          <w:rFonts w:ascii="Times New Roman" w:eastAsia="Times New Roman" w:hAnsi="Times New Roman" w:cs="Times New Roman"/>
          <w:i/>
          <w:iCs/>
          <w:color w:val="000000"/>
          <w:spacing w:val="0"/>
          <w:w w:val="100"/>
          <w:position w:val="0"/>
          <w:shd w:val="clear" w:color="auto" w:fill="auto"/>
          <w:lang w:val="fr-FR" w:eastAsia="fr-FR" w:bidi="fr-FR"/>
        </w:rPr>
        <w:t>hébraïque de l'</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Esprit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(1879); </w:t>
      </w:r>
      <w:r>
        <w:rPr>
          <w:rFonts w:ascii="Times New Roman" w:eastAsia="Times New Roman" w:hAnsi="Times New Roman" w:cs="Times New Roman"/>
          <w:i/>
          <w:iCs/>
          <w:color w:val="000000"/>
          <w:spacing w:val="0"/>
          <w:w w:val="100"/>
          <w:position w:val="0"/>
          <w:shd w:val="clear" w:color="auto" w:fill="auto"/>
          <w:lang w:val="fr-FR" w:eastAsia="fr-FR" w:bidi="fr-FR"/>
        </w:rPr>
        <w:t>Les Origines littéraires de l' Apocalypse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Vitality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Christian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Dogmas and their Power of Evolution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i/>
          <w:iCs/>
          <w:color w:val="000000"/>
          <w:spacing w:val="0"/>
          <w:w w:val="100"/>
          <w:position w:val="0"/>
          <w:shd w:val="clear" w:color="auto" w:fill="auto"/>
          <w:lang w:val="en-US" w:eastAsia="en-US" w:bidi="en-US"/>
        </w:rPr>
        <w:t>Religion and Modern Culture</w:t>
      </w:r>
      <w:r>
        <w:rPr>
          <w:rFonts w:ascii="Times New Roman" w:eastAsia="Times New Roman" w:hAnsi="Times New Roman" w:cs="Times New Roman"/>
          <w:color w:val="000000"/>
          <w:spacing w:val="0"/>
          <w:w w:val="100"/>
          <w:position w:val="0"/>
          <w:shd w:val="clear" w:color="auto" w:fill="auto"/>
          <w:lang w:val="en-US" w:eastAsia="en-US" w:bidi="en-US"/>
        </w:rPr>
        <w:t xml:space="preserve"> (1897); </w:t>
      </w:r>
      <w:r>
        <w:rPr>
          <w:rFonts w:ascii="Times New Roman" w:eastAsia="Times New Roman" w:hAnsi="Times New Roman" w:cs="Times New Roman"/>
          <w:i/>
          <w:iCs/>
          <w:color w:val="000000"/>
          <w:spacing w:val="0"/>
          <w:w w:val="100"/>
          <w:position w:val="0"/>
          <w:shd w:val="clear" w:color="auto" w:fill="auto"/>
          <w:lang w:val="en-US" w:eastAsia="en-US" w:bidi="en-US"/>
        </w:rPr>
        <w:t>Historical Evolution of the Doctrine of the Atonement</w:t>
      </w:r>
      <w:r>
        <w:rPr>
          <w:rFonts w:ascii="Times New Roman" w:eastAsia="Times New Roman" w:hAnsi="Times New Roman" w:cs="Times New Roman"/>
          <w:color w:val="000000"/>
          <w:spacing w:val="0"/>
          <w:w w:val="100"/>
          <w:position w:val="0"/>
          <w:shd w:val="clear" w:color="auto" w:fill="auto"/>
          <w:lang w:val="en-US" w:eastAsia="en-US" w:bidi="en-US"/>
        </w:rPr>
        <w:t xml:space="preserve"> (1903); </w:t>
      </w:r>
      <w:r>
        <w:rPr>
          <w:rFonts w:ascii="Times New Roman" w:eastAsia="Times New Roman" w:hAnsi="Times New Roman" w:cs="Times New Roman"/>
          <w:i/>
          <w:iCs/>
          <w:color w:val="000000"/>
          <w:spacing w:val="0"/>
          <w:w w:val="100"/>
          <w:position w:val="0"/>
          <w:shd w:val="clear" w:color="auto" w:fill="auto"/>
          <w:lang w:val="en-US" w:eastAsia="en-US" w:bidi="en-US"/>
        </w:rPr>
        <w:t>Outlines of a Philosophy of Religion</w:t>
      </w:r>
      <w:r>
        <w:rPr>
          <w:rFonts w:ascii="Times New Roman" w:eastAsia="Times New Roman" w:hAnsi="Times New Roman" w:cs="Times New Roman"/>
          <w:color w:val="000000"/>
          <w:spacing w:val="0"/>
          <w:w w:val="100"/>
          <w:position w:val="0"/>
          <w:shd w:val="clear" w:color="auto" w:fill="auto"/>
          <w:lang w:val="en-US" w:eastAsia="en-US" w:bidi="en-US"/>
        </w:rPr>
        <w:t xml:space="preserve"> (1897); and his posthumous </w:t>
      </w:r>
      <w:r>
        <w:rPr>
          <w:rFonts w:ascii="Times New Roman" w:eastAsia="Times New Roman" w:hAnsi="Times New Roman" w:cs="Times New Roman"/>
          <w:i/>
          <w:iCs/>
          <w:color w:val="000000"/>
          <w:spacing w:val="0"/>
          <w:w w:val="100"/>
          <w:position w:val="0"/>
          <w:shd w:val="clear" w:color="auto" w:fill="auto"/>
          <w:lang w:val="en-US" w:eastAsia="en-US" w:bidi="en-US"/>
        </w:rPr>
        <w:t>Religions of Authority and the Religion of the Spirit</w:t>
      </w:r>
      <w:r>
        <w:rPr>
          <w:rFonts w:ascii="Times New Roman" w:eastAsia="Times New Roman" w:hAnsi="Times New Roman" w:cs="Times New Roman"/>
          <w:color w:val="000000"/>
          <w:spacing w:val="0"/>
          <w:w w:val="100"/>
          <w:position w:val="0"/>
          <w:shd w:val="clear" w:color="auto" w:fill="auto"/>
          <w:lang w:val="en-US" w:eastAsia="en-US" w:bidi="en-US"/>
        </w:rPr>
        <w:t xml:space="preserve"> (1904), to which his colleague Jean </w:t>
      </w:r>
      <w:r>
        <w:rPr>
          <w:rFonts w:ascii="Times New Roman" w:eastAsia="Times New Roman" w:hAnsi="Times New Roman" w:cs="Times New Roman"/>
          <w:color w:val="000000"/>
          <w:spacing w:val="0"/>
          <w:w w:val="100"/>
          <w:position w:val="0"/>
          <w:shd w:val="clear" w:color="auto" w:fill="auto"/>
          <w:lang w:val="fr-FR" w:eastAsia="fr-FR" w:bidi="fr-FR"/>
        </w:rPr>
        <w:t xml:space="preserve">Réville </w:t>
      </w:r>
      <w:r>
        <w:rPr>
          <w:rFonts w:ascii="Times New Roman" w:eastAsia="Times New Roman" w:hAnsi="Times New Roman" w:cs="Times New Roman"/>
          <w:color w:val="000000"/>
          <w:spacing w:val="0"/>
          <w:w w:val="100"/>
          <w:position w:val="0"/>
          <w:shd w:val="clear" w:color="auto" w:fill="auto"/>
          <w:lang w:val="en-US" w:eastAsia="en-US" w:bidi="en-US"/>
        </w:rPr>
        <w:t>prefixed a short memoir. These works show Sabatier as “at once an accomplished dialectician and a mystic in the best sense of the word.’’ He died on the 12th of April 1901.</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his theology see E. Ménégoz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Expository Times,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 30, and</w:t>
      </w:r>
    </w:p>
    <w:p>
      <w:pPr>
        <w:pStyle w:val="Style3"/>
        <w:keepNext w:val="0"/>
        <w:keepLines w:val="0"/>
        <w:widowControl w:val="0"/>
        <w:shd w:val="clear" w:color="auto" w:fill="auto"/>
        <w:tabs>
          <w:tab w:pos="303"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G.B. Stevens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Hibbert Journal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(April 1903).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brother, </w:t>
      </w:r>
      <w:r>
        <w:rPr>
          <w:rFonts w:ascii="Times New Roman" w:eastAsia="Times New Roman" w:hAnsi="Times New Roman" w:cs="Times New Roman"/>
          <w:smallCaps/>
          <w:color w:val="000000"/>
          <w:spacing w:val="0"/>
          <w:w w:val="100"/>
          <w:position w:val="0"/>
          <w:shd w:val="clear" w:color="auto" w:fill="auto"/>
          <w:lang w:val="en-US" w:eastAsia="en-US" w:bidi="en-US"/>
        </w:rPr>
        <w:t>Paul Sabatier,</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St Michel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Chabrillanoux in the Cévennes on the 3rd of August 1858, and was educated at the faculty of theology in Paris. In 1885 he became vicar of St Nicolas,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and in 1889, declining an offer of preferment which was conditional on his becoming a German subject, he was expelled. For four years he was pastor of St </w:t>
      </w:r>
      <w:r>
        <w:rPr>
          <w:rFonts w:ascii="Times New Roman" w:eastAsia="Times New Roman" w:hAnsi="Times New Roman" w:cs="Times New Roman"/>
          <w:color w:val="000000"/>
          <w:spacing w:val="0"/>
          <w:w w:val="100"/>
          <w:position w:val="0"/>
          <w:shd w:val="clear" w:color="auto" w:fill="auto"/>
          <w:lang w:val="fr-FR" w:eastAsia="fr-FR" w:bidi="fr-FR"/>
        </w:rPr>
        <w:t xml:space="preserve">Cierge </w:t>
      </w:r>
      <w:r>
        <w:rPr>
          <w:rFonts w:ascii="Times New Roman" w:eastAsia="Times New Roman" w:hAnsi="Times New Roman" w:cs="Times New Roman"/>
          <w:color w:val="000000"/>
          <w:spacing w:val="0"/>
          <w:w w:val="100"/>
          <w:position w:val="0"/>
          <w:shd w:val="clear" w:color="auto" w:fill="auto"/>
          <w:lang w:val="en-US" w:eastAsia="en-US" w:bidi="en-US"/>
        </w:rPr>
        <w:t xml:space="preserve">in the Cévennes and then devoted himself entirely to historical research. He had already produced an edition of the </w:t>
      </w:r>
      <w:r>
        <w:rPr>
          <w:rFonts w:ascii="Times New Roman" w:eastAsia="Times New Roman" w:hAnsi="Times New Roman" w:cs="Times New Roman"/>
          <w:i/>
          <w:iCs/>
          <w:color w:val="000000"/>
          <w:spacing w:val="0"/>
          <w:w w:val="100"/>
          <w:position w:val="0"/>
          <w:shd w:val="clear" w:color="auto" w:fill="auto"/>
          <w:lang w:val="en-US" w:eastAsia="en-US" w:bidi="en-US"/>
        </w:rPr>
        <w:t>Didachē,</w:t>
      </w:r>
      <w:r>
        <w:rPr>
          <w:rFonts w:ascii="Times New Roman" w:eastAsia="Times New Roman" w:hAnsi="Times New Roman" w:cs="Times New Roman"/>
          <w:color w:val="000000"/>
          <w:spacing w:val="0"/>
          <w:w w:val="100"/>
          <w:position w:val="0"/>
          <w:shd w:val="clear" w:color="auto" w:fill="auto"/>
          <w:lang w:val="en-US" w:eastAsia="en-US" w:bidi="en-US"/>
        </w:rPr>
        <w:t xml:space="preserve"> and in November 1893 published his important </w:t>
      </w:r>
      <w:r>
        <w:rPr>
          <w:rFonts w:ascii="Times New Roman" w:eastAsia="Times New Roman" w:hAnsi="Times New Roman" w:cs="Times New Roman"/>
          <w:i/>
          <w:iCs/>
          <w:color w:val="000000"/>
          <w:spacing w:val="0"/>
          <w:w w:val="100"/>
          <w:position w:val="0"/>
          <w:shd w:val="clear" w:color="auto" w:fill="auto"/>
          <w:lang w:val="en-US" w:eastAsia="en-US" w:bidi="en-US"/>
        </w:rPr>
        <w:t>Life of St Francis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Assisi.</w:t>
      </w:r>
      <w:r>
        <w:rPr>
          <w:rFonts w:ascii="Times New Roman" w:eastAsia="Times New Roman" w:hAnsi="Times New Roman" w:cs="Times New Roman"/>
          <w:color w:val="000000"/>
          <w:spacing w:val="0"/>
          <w:w w:val="100"/>
          <w:position w:val="0"/>
          <w:shd w:val="clear" w:color="auto" w:fill="auto"/>
          <w:lang w:val="en-US" w:eastAsia="en-US" w:bidi="en-US"/>
        </w:rPr>
        <w:t xml:space="preserve"> This book gave a great stimulus to the study of medieval literary and religious docu- ments, especially of such as are connected with the history of the Franciscan Order. In 1908 he delivered the Jowett Lectures on Modernism at the Passmore Edwards Settlement, London.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SABAZIUS, a Phrygian or Thracian deity, frequently identified with Dionysus, sometimes (but less frequently) with Zeus. His worship was closely connected with that of the great mother Cybele and of Attis. His chief attribute as a chthonian god was a snake, the symbol of the yearly renovation of the life of nature. Demosthenes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corona,</w:t>
      </w:r>
      <w:r>
        <w:rPr>
          <w:rFonts w:ascii="Times New Roman" w:eastAsia="Times New Roman" w:hAnsi="Times New Roman" w:cs="Times New Roman"/>
          <w:color w:val="000000"/>
          <w:spacing w:val="0"/>
          <w:w w:val="100"/>
          <w:position w:val="0"/>
          <w:shd w:val="clear" w:color="auto" w:fill="auto"/>
          <w:lang w:val="en-US" w:eastAsia="en-US" w:bidi="en-US"/>
        </w:rPr>
        <w:t xml:space="preserve"> p. 313) mentions various ceremonies practised during the celebration of the mysteries of this deity. One of the most important was the passing of a golden snake under the clothes of the initiated across their bosom and its withdrawal from below—an old rite of adoption. From Val. Max. 1. 3, 2 it has been concluded that Sabazius was identified in ancient times with the Jewish Sabaoth </w:t>
      </w:r>
      <w:r>
        <w:rPr>
          <w:rFonts w:ascii="Times New Roman" w:eastAsia="Times New Roman" w:hAnsi="Times New Roman" w:cs="Times New Roman"/>
          <w:color w:val="000000"/>
          <w:spacing w:val="0"/>
          <w:w w:val="100"/>
          <w:position w:val="0"/>
          <w:shd w:val="clear" w:color="auto" w:fill="auto"/>
          <w:lang w:val="de-DE" w:eastAsia="de-DE" w:bidi="de-DE"/>
        </w:rPr>
        <w:t xml:space="preserve">(Zebaoth). </w:t>
      </w:r>
      <w:r>
        <w:rPr>
          <w:rFonts w:ascii="Times New Roman" w:eastAsia="Times New Roman" w:hAnsi="Times New Roman" w:cs="Times New Roman"/>
          <w:color w:val="000000"/>
          <w:spacing w:val="0"/>
          <w:w w:val="100"/>
          <w:position w:val="0"/>
          <w:shd w:val="clear" w:color="auto" w:fill="auto"/>
          <w:lang w:val="en-US" w:eastAsia="en-US" w:bidi="en-US"/>
        </w:rPr>
        <w:t xml:space="preserve">Plutarch </w:t>
      </w:r>
      <w:r>
        <w:rPr>
          <w:rFonts w:ascii="Times New Roman" w:eastAsia="Times New Roman" w:hAnsi="Times New Roman" w:cs="Times New Roman"/>
          <w:i/>
          <w:iCs/>
          <w:color w:val="000000"/>
          <w:spacing w:val="0"/>
          <w:w w:val="100"/>
          <w:position w:val="0"/>
          <w:shd w:val="clear" w:color="auto" w:fill="auto"/>
          <w:lang w:val="en-US" w:eastAsia="en-US" w:bidi="en-US"/>
        </w:rPr>
        <w:t>(Symp.</w:t>
      </w:r>
      <w:r>
        <w:rPr>
          <w:rFonts w:ascii="Times New Roman" w:eastAsia="Times New Roman" w:hAnsi="Times New Roman" w:cs="Times New Roman"/>
          <w:color w:val="000000"/>
          <w:spacing w:val="0"/>
          <w:w w:val="100"/>
          <w:position w:val="0"/>
          <w:shd w:val="clear" w:color="auto" w:fill="auto"/>
          <w:lang w:val="en-US" w:eastAsia="en-US" w:bidi="en-US"/>
        </w:rPr>
        <w:t xml:space="preserve"> iv. 6) maintains that the Jews worshipped Dionysus, and that the day of Sabbath was a festival of Sabazius. Whether he was the same as Sozon, a marine deity of southern Asia Minor, is doubtful. Some explain the name as the “ beer god,” from an Illyrian word </w:t>
      </w:r>
      <w:r>
        <w:rPr>
          <w:rFonts w:ascii="Times New Roman" w:eastAsia="Times New Roman" w:hAnsi="Times New Roman" w:cs="Times New Roman"/>
          <w:i/>
          <w:iCs/>
          <w:color w:val="000000"/>
          <w:spacing w:val="0"/>
          <w:w w:val="100"/>
          <w:position w:val="0"/>
          <w:shd w:val="clear" w:color="auto" w:fill="auto"/>
          <w:lang w:val="en-US" w:eastAsia="en-US" w:bidi="en-US"/>
        </w:rPr>
        <w:t>sabaya,</w:t>
      </w:r>
      <w:r>
        <w:rPr>
          <w:rFonts w:ascii="Times New Roman" w:eastAsia="Times New Roman" w:hAnsi="Times New Roman" w:cs="Times New Roman"/>
          <w:color w:val="000000"/>
          <w:spacing w:val="0"/>
          <w:w w:val="100"/>
          <w:position w:val="0"/>
          <w:shd w:val="clear" w:color="auto" w:fill="auto"/>
          <w:lang w:val="en-US" w:eastAsia="en-US" w:bidi="en-US"/>
        </w:rPr>
        <w:t xml:space="preserve"> while others suggest a connexion with ΣαFo (god of “ health ”) or </w:t>
      </w:r>
      <w:r>
        <w:rPr>
          <w:rFonts w:ascii="Times New Roman" w:eastAsia="Times New Roman" w:hAnsi="Times New Roman" w:cs="Times New Roman"/>
          <w:i/>
          <w:iCs/>
          <w:color w:val="000000"/>
          <w:spacing w:val="0"/>
          <w:w w:val="100"/>
          <w:position w:val="0"/>
          <w:shd w:val="clear" w:color="auto" w:fill="auto"/>
          <w:lang w:val="el-GR" w:eastAsia="el-GR" w:bidi="el-GR"/>
        </w:rPr>
        <w:t>σέβας.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image and name are often found on “votive hands,” a kind of tah*sman adorned with emblems, the nature of which is obscure. His ritual and mysteries (</w:t>
      </w:r>
      <w:r>
        <w:rPr>
          <w:rFonts w:ascii="Times New Roman" w:eastAsia="Times New Roman" w:hAnsi="Times New Roman" w:cs="Times New Roman"/>
          <w:i/>
          <w:iCs/>
          <w:color w:val="000000"/>
          <w:spacing w:val="0"/>
          <w:w w:val="100"/>
          <w:position w:val="0"/>
          <w:shd w:val="clear" w:color="auto" w:fill="auto"/>
          <w:lang w:val="en-US" w:eastAsia="en-US" w:bidi="en-US"/>
        </w:rPr>
        <w:t>Sacra Saυadia</w:t>
      </w:r>
      <w:r>
        <w:rPr>
          <w:rFonts w:ascii="Times New Roman" w:eastAsia="Times New Roman" w:hAnsi="Times New Roman" w:cs="Times New Roman"/>
          <w:color w:val="000000"/>
          <w:spacing w:val="0"/>
          <w:w w:val="100"/>
          <w:position w:val="0"/>
          <w:shd w:val="clear" w:color="auto" w:fill="auto"/>
          <w:lang w:val="en-US" w:eastAsia="en-US" w:bidi="en-US"/>
        </w:rPr>
        <w:t xml:space="preserve">) gained a firm footing in Rome during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although as early as 139 B.c. the first Jews who settled in the capital were expelled by virtue of a law which proscribed the propagation of the cult of Jupiter Sabazius.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J.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Harrison,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Prolegomena to Greek Religion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 p. 414;</w:t>
      </w:r>
    </w:p>
    <w:p>
      <w:pPr>
        <w:pStyle w:val="Style3"/>
        <w:keepNext w:val="0"/>
        <w:keepLines w:val="0"/>
        <w:widowControl w:val="0"/>
        <w:shd w:val="clear" w:color="auto" w:fill="auto"/>
        <w:tabs>
          <w:tab w:pos="313"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w:t>
        <w:tab/>
        <w:t xml:space="preserve">Usener,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ō</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tternamen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(1896), p. 44; F. Cumont, “ Hypsistes " 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Revue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 l'</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instruction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publique 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Belgique,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xl. (1899);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S. </w:t>
      </w:r>
      <w:r>
        <w:rPr>
          <w:rFonts w:ascii="Times New Roman" w:eastAsia="Times New Roman" w:hAnsi="Times New Roman" w:cs="Times New Roman"/>
          <w:color w:val="000000"/>
          <w:spacing w:val="0"/>
          <w:w w:val="100"/>
          <w:position w:val="0"/>
          <w:sz w:val="17"/>
          <w:szCs w:val="17"/>
          <w:shd w:val="clear" w:color="auto" w:fill="auto"/>
          <w:lang w:val="de-DE" w:eastAsia="de-DE" w:bidi="de-DE"/>
        </w:rPr>
        <w:t>Blinken</w:t>
        <w:softHyphen/>
        <w:t xml:space="preserve">berg,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Archäologische Studien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(19o4).</w:t>
      </w:r>
    </w:p>
    <w:sectPr>
      <w:footnotePr>
        <w:pos w:val="pageBottom"/>
        <w:numFmt w:val="decimal"/>
        <w:numRestart w:val="continuous"/>
      </w:footnotePr>
      <w:pgSz w:w="12240" w:h="15840"/>
      <w:pgMar w:top="972" w:left="978" w:right="822"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