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A. T. Mahan,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Sea-Power in its Relation to the War of 1812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 vols., Boston, 1905); and William Kingsford,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The History of Canada, </w:t>
      </w:r>
      <w:r>
        <w:rPr>
          <w:rFonts w:ascii="Times New Roman" w:eastAsia="Times New Roman" w:hAnsi="Times New Roman" w:cs="Times New Roman"/>
          <w:color w:val="000000"/>
          <w:spacing w:val="0"/>
          <w:w w:val="100"/>
          <w:position w:val="0"/>
          <w:sz w:val="17"/>
          <w:szCs w:val="17"/>
          <w:shd w:val="clear" w:color="auto" w:fill="auto"/>
          <w:lang w:val="en-US" w:eastAsia="en-US" w:bidi="en-US"/>
        </w:rPr>
        <w:t>vol. viii. (Toronto, 1895).</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SACKING AND SACK MANUFACTURE. Sacking is a heavy closely-woven fabric, originally made of flax, but now almost exclusively made of jute or of hemp. The more expensive kinds, such as are used for coal sacks for government and other vessels, are made of hemp, but the jute fibre is extensively used for the same purpose, and almost entirely for coal sacks for local house supplies. The same type of fabric is used for wool sacks, cement bags, orc bags, pea sacks and for any heavy substance; it is also made up into a special form of bag for packing cops and rolls of jute and flax yarns for delivery from spinners to manufacturers. Proper sacking is essentially a twilled fabric, in which the number of warp threads per inch greatly exceeds the number per inch of weft. The illustration shows a typical kind of three-leaf twill, double warp sacking.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three-leaf twill sackings are double in the warp, but four-leaf sackings arc single. They are usually 27 in. wide, but other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widths are made.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lower part of the illus</w:t>
        <w:softHyphen/>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tration shows four repeats of the three-leaf twill, while the lines drawn to the plan of the fabric show that each line of the design is reproduced in the cloth by two warp threads. The weft is single, but each one is usually about four times the weight of the warp for the same length (about 8 lb warp and 32 lb weft). Large quantities of cotton sacks are made for flour, sugar and similar produce: these sacks are usually plain cloth, some woven circular in the loom, others made from the piece.</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Large quantities of seamless bags or sacks for light substances are woven in the loom, but these are almost invariably made with what is termed the double plain weave,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cloth, although circular except at the end, is perfectly plain on both sides. Circular bags have been made both with three-leaf and four-leaf twills, but it is found much more convenient and economical to make the cloth for these kinds, and in most cases for all other types, in the piece, and then to make it up into sacks by one or other of the many types of sewing machines. The pieces are first cut up into definite lengths by special machinery, which may be perfectly automatic, or semi- automatic—usually the latter, as many thicknesses may be cut at the same time, each of the exact length. The lengths of cloth are then separately doubled up, the sides sewn by special sewing machines of the Laing or Union make (of which there are seven or eight different kinds for different types of bags), and the ends hemmed. It will thus be seen that the length required is twice the length of the sack plus the amount for hemming the mouth.</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sack is now ready for delivery, unless the name of the owner, some trade mark, or other particulars are required to appear on it. These particulars are printed on in one or more colours by the Kinmond and Kidd patent multicolour sack-printing machine.</w:t>
      </w:r>
    </w:p>
    <w:p>
      <w:pPr>
        <w:pStyle w:val="Style3"/>
        <w:keepNext w:val="0"/>
        <w:keepLines w:val="0"/>
        <w:widowControl w:val="0"/>
        <w:shd w:val="clear" w:color="auto" w:fill="auto"/>
        <w:tabs>
          <w:tab w:pos="4217" w:val="left"/>
        </w:tabs>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chief centres for these goods are Dundee and Calcutta, all varieties of sacks and bags being made in and around the former city.</w:t>
        <w:tab/>
        <w:t>(T. Wo.)</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z w:val="38"/>
          <w:szCs w:val="38"/>
          <w:shd w:val="clear" w:color="auto" w:fill="auto"/>
          <w:lang w:val="en-US" w:eastAsia="en-US" w:bidi="en-US"/>
        </w:rPr>
        <w:t xml:space="preserve">SACKVILLE, GEORGE, </w:t>
      </w: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r>
        <w:rPr>
          <w:rFonts w:ascii="Times New Roman" w:eastAsia="Times New Roman" w:hAnsi="Times New Roman" w:cs="Times New Roman"/>
          <w:smallCaps/>
          <w:color w:val="000000"/>
          <w:spacing w:val="0"/>
          <w:w w:val="100"/>
          <w:position w:val="0"/>
          <w:shd w:val="clear" w:color="auto" w:fill="auto"/>
          <w:lang w:val="de-DE" w:eastAsia="de-DE" w:bidi="de-DE"/>
        </w:rPr>
        <w:t xml:space="preserve">st </w:t>
      </w:r>
      <w:r>
        <w:rPr>
          <w:rFonts w:ascii="Times New Roman" w:eastAsia="Times New Roman" w:hAnsi="Times New Roman" w:cs="Times New Roman"/>
          <w:smallCaps/>
          <w:color w:val="000000"/>
          <w:spacing w:val="0"/>
          <w:w w:val="100"/>
          <w:position w:val="0"/>
          <w:shd w:val="clear" w:color="auto" w:fill="auto"/>
          <w:lang w:val="en-US" w:eastAsia="en-US" w:bidi="en-US"/>
        </w:rPr>
        <w:t>Viscount</w:t>
      </w:r>
      <w:r>
        <w:rPr>
          <w:rFonts w:ascii="Times New Roman" w:eastAsia="Times New Roman" w:hAnsi="Times New Roman" w:cs="Times New Roman"/>
          <w:color w:val="000000"/>
          <w:spacing w:val="0"/>
          <w:w w:val="100"/>
          <w:position w:val="0"/>
          <w:shd w:val="clear" w:color="auto" w:fill="auto"/>
          <w:lang w:val="en-US" w:eastAsia="en-US" w:bidi="en-US"/>
        </w:rPr>
        <w:t xml:space="preserve"> (1716-1785), generally remembered as Lord George Sack</w:t>
      </w:r>
      <w:r>
        <w:rPr>
          <w:rFonts w:ascii="Times New Roman" w:eastAsia="Times New Roman" w:hAnsi="Times New Roman" w:cs="Times New Roman"/>
          <w:color w:val="000000"/>
          <w:spacing w:val="0"/>
          <w:w w:val="100"/>
          <w:position w:val="0"/>
          <w:shd w:val="clear" w:color="auto" w:fill="auto"/>
          <w:lang w:val="fr-FR" w:eastAsia="fr-FR" w:bidi="fr-FR"/>
        </w:rPr>
        <w:t xml:space="preserve">ville </w:t>
      </w:r>
      <w:r>
        <w:rPr>
          <w:rFonts w:ascii="Times New Roman" w:eastAsia="Times New Roman" w:hAnsi="Times New Roman" w:cs="Times New Roman"/>
          <w:color w:val="000000"/>
          <w:spacing w:val="0"/>
          <w:w w:val="100"/>
          <w:position w:val="0"/>
          <w:shd w:val="clear" w:color="auto" w:fill="auto"/>
          <w:lang w:val="en-US" w:eastAsia="en-US" w:bidi="en-US"/>
        </w:rPr>
        <w:t>or Lord George Germain, third son of Lionel Cranfield Sackville,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duke of Dorset, was born on the 26th of January 1716. Educated at Westminster School and Trinity College, Dublin, he was gazetted captain in the 7th Cathcart’s Horse (now 6th Dragoon Guards) in 1737, and three years later was transferred to Bragg’s regiment of foot (Gloucestershire Regiment) as lieutenant-colonel; imme</w:t>
        <w:softHyphen/>
        <w:t xml:space="preserve">diately afterwards the regiment sailed for active service on the Rhine, and although it was not present at the battle of </w:t>
      </w:r>
      <w:r>
        <w:rPr>
          <w:rFonts w:ascii="Times New Roman" w:eastAsia="Times New Roman" w:hAnsi="Times New Roman" w:cs="Times New Roman"/>
          <w:color w:val="000000"/>
          <w:spacing w:val="0"/>
          <w:w w:val="100"/>
          <w:position w:val="0"/>
          <w:shd w:val="clear" w:color="auto" w:fill="auto"/>
          <w:lang w:val="de-DE" w:eastAsia="de-DE" w:bidi="de-DE"/>
        </w:rPr>
        <w:t xml:space="preserve">Dettingen, </w:t>
      </w:r>
      <w:r>
        <w:rPr>
          <w:rFonts w:ascii="Times New Roman" w:eastAsia="Times New Roman" w:hAnsi="Times New Roman" w:cs="Times New Roman"/>
          <w:color w:val="000000"/>
          <w:spacing w:val="0"/>
          <w:w w:val="100"/>
          <w:position w:val="0"/>
          <w:shd w:val="clear" w:color="auto" w:fill="auto"/>
          <w:lang w:val="en-US" w:eastAsia="en-US" w:bidi="en-US"/>
        </w:rPr>
        <w:t>its lieutenant-colonel was made brevet colonel and aide-de-camp to the king. It was not until two years later that Sackville took part in his first battle, Fontenoy. Wounded in the charge of</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Cumberland’s infantry column, he was taken to the tent of King Louis XV. to have his wound dressed. Released, by what means does not appear, he was sent home to serve against the Pretender in Scotland. He was given the colonelcy of the 20th (Lancashire Fusiliers), but was too late to take part in the battle of Culloden. In 1747-1748 he was again with the duke of Cumberland in the Low Countries, and in 1749 was transferred to the cavalry, receiving the colonelcy of the 7th (3rd) Irish Horse (Carabineers). With this office he combined those of first secretary to his father, the lord-lieutenant of Ireland, and Irish secretary of war, and a seat in each of the two Houses of Commons at Westminster and Dublin, winning at the same time the repute of being “ the gayest man in Ireland except his father.” In 1755 he was pro</w:t>
        <w:softHyphen/>
        <w:t xml:space="preserve">moted major-general, took an English command, and vacated his Irish offices. In 1757 he was made lieutenant-general of the ordnance, and transferred to a fourth colonelcy. In 1758, under the duke of Marlborough, he shared in the ineffective raid on Cancale Bay, and the troops, after a short sojourn in the Isle of Wight, were sent to join the allied army of Duke Ferdinand of Brunswick in Germany. Marlborough died shortly after they landed, and Sackville succeeded him as commander-in-chief of the British contingent. But no sooner had he taken over the command than his haughty and domineering temper estranged him both from his second-in-command, Lord Granby, and the commander-in-chief, Prince Ferdinand. This culminated on the day of Minden (August 1, 1758). The British infantry, aided by some of the Hanoverians, had won a brilliant success, and every </w:t>
      </w:r>
      <w:r>
        <w:rPr>
          <w:rFonts w:ascii="Times New Roman" w:eastAsia="Times New Roman" w:hAnsi="Times New Roman" w:cs="Times New Roman"/>
          <w:color w:val="000000"/>
          <w:spacing w:val="0"/>
          <w:w w:val="100"/>
          <w:position w:val="0"/>
          <w:sz w:val="38"/>
          <w:szCs w:val="38"/>
          <w:shd w:val="clear" w:color="auto" w:fill="auto"/>
          <w:lang w:val="en-US" w:eastAsia="en-US" w:bidi="en-US"/>
        </w:rPr>
        <w:t xml:space="preserve">man </w:t>
      </w:r>
      <w:r>
        <w:rPr>
          <w:rFonts w:ascii="Times New Roman" w:eastAsia="Times New Roman" w:hAnsi="Times New Roman" w:cs="Times New Roman"/>
          <w:color w:val="000000"/>
          <w:spacing w:val="0"/>
          <w:w w:val="100"/>
          <w:position w:val="0"/>
          <w:shd w:val="clear" w:color="auto" w:fill="auto"/>
          <w:lang w:val="en-US" w:eastAsia="en-US" w:bidi="en-US"/>
        </w:rPr>
        <w:t>in the army looked to the British cavalry to charge and to make it a decisive victory. But Sackville, in spite of repeated orders from Prince Ferdinand, sullenly refused to allow Granby’s squadrons to advance. The crisis passed, and the victory remained an indecisive success. Popular indignation was unbounded, and Sackville was dismissed from his offices. But his courage, though impugned, was sufficient to make him press for a court-martial, and a court at last assembled in 1760. This pronounced him guilty of disobedience, and adjudged him “ unfit to serve his Majesty in any military capacity whatsoever.” The sentence was executed with gratuitous harshness. It was read out on parade to every regiment in the service, with a homily attached, and placed on record in every regimental order book. Further, it was announced in the Gazette that his Majesty had expunged Sackville’s name from the roll of the Privy Council. This, and Sackville’s own dogged perseverance, turned the scale in his favour. No reverses to the British arms occurred to keep alive the memory of his lost opportunity, and in 1763 his name was restored to the list of the Privy Council. Hitherto without party ties in parliament, in 1769 he allied himself with Lord North. To this period belong the famous Junius Letters, with the authorship of which Sackville was erroneously credited. In 1770, under the terms of a will, he assumed the name of Germain. In the same year his coolness and courage in a duel with Captain George Johnstone, M.P., assisted to rehabilitate him, and in 1775, having meantime taken an active part in politics, he became secretary of state for the colonies in the North cabinet. Thus, though still standing condemned as unfit for any military employ</w:t>
        <w:softHyphen/>
        <w:t>ment, he exercised a powerful and unfortunate influence on the military affairs of the nation. Some of the business of the war department in those days fell to the colonial office, and Germain was practically the director of the war for the suppression of the revolt in the American colonies. What hopes of success there were in such a struggle Germain and the North cabinet dissipated by their misunderstanding of the situation and their friction with the generals and the army in the theatre of war. But this failure was not on the same footing as that of Minden, and in spite of virulent party attacks, King George III., on the resigna- tion of the North ministry, offered him a peerage. Sackville, in characteristic fashion, stipulated for a viscounty, as otherwise he would be junior to his secretary, his lawyer and to Amherst, who had been page to his father. There was some opposition to his taking his seat in the House of Lords. But his health was failing and he withdrew from politics, spending his last years as a benevolent and autocratic country magnate. He died at</w:t>
      </w:r>
    </w:p>
    <w:sectPr>
      <w:footnotePr>
        <w:pos w:val="pageBottom"/>
        <w:numFmt w:val="decimal"/>
        <w:numRestart w:val="continuous"/>
      </w:footnotePr>
      <w:pgSz w:w="12240" w:h="15840"/>
      <w:pgMar w:top="989" w:left="996" w:right="848" w:bottom="4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