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king and court lent their presence to </w:t>
      </w:r>
      <w:r>
        <w:rPr>
          <w:rFonts w:ascii="Times New Roman" w:eastAsia="Times New Roman" w:hAnsi="Times New Roman" w:cs="Times New Roman"/>
          <w:i/>
          <w:iCs/>
          <w:color w:val="000000"/>
          <w:spacing w:val="0"/>
          <w:w w:val="100"/>
          <w:position w:val="0"/>
          <w:shd w:val="clear" w:color="auto" w:fill="auto"/>
          <w:lang w:val="en-US" w:eastAsia="en-US" w:bidi="en-US"/>
        </w:rPr>
        <w:t>autos da fé</w:t>
      </w:r>
      <w:r>
        <w:rPr>
          <w:rFonts w:ascii="Times New Roman" w:eastAsia="Times New Roman" w:hAnsi="Times New Roman" w:cs="Times New Roman"/>
          <w:color w:val="000000"/>
          <w:spacing w:val="0"/>
          <w:w w:val="100"/>
          <w:position w:val="0"/>
          <w:shd w:val="clear" w:color="auto" w:fill="auto"/>
          <w:lang w:val="en-US" w:eastAsia="en-US" w:bidi="en-US"/>
        </w:rPr>
        <w:t xml:space="preserve"> and organized public penances, initiating a reign of fanaticisms and sadness, there was no place for poetry. Sá </w:t>
      </w:r>
      <w:r>
        <w:rPr>
          <w:rFonts w:ascii="Times New Roman" w:eastAsia="Times New Roman" w:hAnsi="Times New Roman" w:cs="Times New Roman"/>
          <w:color w:val="000000"/>
          <w:spacing w:val="0"/>
          <w:w w:val="100"/>
          <w:position w:val="0"/>
          <w:shd w:val="clear" w:color="auto" w:fill="auto"/>
          <w:lang w:val="fr-FR" w:eastAsia="fr-FR" w:bidi="fr-FR"/>
        </w:rPr>
        <w:t xml:space="preserve">de Miranda </w:t>
      </w:r>
      <w:r>
        <w:rPr>
          <w:rFonts w:ascii="Times New Roman" w:eastAsia="Times New Roman" w:hAnsi="Times New Roman" w:cs="Times New Roman"/>
          <w:color w:val="000000"/>
          <w:spacing w:val="0"/>
          <w:w w:val="100"/>
          <w:position w:val="0"/>
          <w:shd w:val="clear" w:color="auto" w:fill="auto"/>
          <w:lang w:val="en-US" w:eastAsia="en-US" w:bidi="en-US"/>
        </w:rPr>
        <w:t xml:space="preserve">could only deplore in private the misfortunes of his country and devote himself to polishing his verses and educating his children. His life’s work was done, for the year 1550 saw Camoens writing his admirable sonnets, canzons and elegies, and the Italian school had definitely triumphed. The last eight years of Sá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Miranda’s life produced a cycle of beautiful poems evoked by the personality of Prince John, the heir-apparent, who loved letters and especi- ally poetry, and whose precocity of talent made him the hope of all patriots. In 1550 and 1551, after the prince’s visit to the university of Coimbra, he honoured the master by asking for a collection of his poems, and on three occasions we find the latter despatching portions of his song-book to Lisbon accompanied by dedicatory sonnets. Moreover, he had the further gratification of receiving verses from Antonio Ferreira, Jorge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Montemayor, Diogo Bernardes, and André Falcão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Resende, which were so many proofs of the vitality of his school. Three misfortunes, however, came on him in quick succession. He lost his eldest son in 1553, Prince John died in 1554, and in 1555 his wife died. His friend King John III. passed away in 1557, and on the 15th of March 1558 Sá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Miranda followed him to the grave.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 was not a great writer and never entered into the hearts of his countrymen, remaining the poet of the cultured, who could understand him and pardon his metrical imperfections. He led the way, however, in a revolution in literature, and especially in poetry, which under his influence became higher in aim, purer in tone and broader in sympathy. He is obviously not at ease in the new forms which he had introduced, and his verse is, as a rule, austere, unharmonious and often difficult of understanding, but these remarks do not, of course, apply to his redondilhas. Some of his sonnets are; however, admirable, and display a grave tenderness of feehng, a refinement of thought, and a simplicity of expression which give them a high value. As examples it is only necessary to mention the one beginning “ O sol he grande . . and the lines he composed on the death of his wife. Sá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Miranda wrote much and successfully in Castilian, several of his best eclogues being in that language. The charm of these compositions lies in their convincing descriptions of natural scenery and country life, which he loved and comprehended to perfection.</w:t>
      </w:r>
    </w:p>
    <w:p>
      <w:pPr>
        <w:pStyle w:val="Style3"/>
        <w:keepNext w:val="0"/>
        <w:keepLines w:val="0"/>
        <w:widowControl w:val="0"/>
        <w:shd w:val="clear" w:color="auto" w:fill="auto"/>
        <w:tabs>
          <w:tab w:pos="4246" w:val="left"/>
        </w:tabs>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Sá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Miranda’s works were first published in 1595, but the admirable critical edition of Madame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Michaelis de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Vasconcellos (Halle, 1885), containing life, notes and glossary, supersedes all others so far as the poems are concerned. His plays can best be read in the 1784 edition of the collected works. No modern or critical edition is available. See also Oswald Crawford,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Portugal Old and New</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(London, 1880); Dr Sousa Viterbo,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Esl·udos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sobre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Sá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Miranda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(3 parts, Coimbra, 1895-1896); Decio Carneiro,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Sá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Miranda e a sua obra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(Lisbon, 1895); and Dr Theophilo Braga,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Sá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de Miranda</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(Oporto, 1896).</w:t>
        <w:tab/>
        <w:t xml:space="preserv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Pr.)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SADHU, a Hindu ascetic, corresponding to the Mahommedan fakir </w:t>
      </w:r>
      <w:r>
        <w:rPr>
          <w:rFonts w:ascii="Times New Roman" w:eastAsia="Times New Roman" w:hAnsi="Times New Roman" w:cs="Times New Roman"/>
          <w:i/>
          <w:iCs/>
          <w:color w:val="000000"/>
          <w:spacing w:val="0"/>
          <w:w w:val="100"/>
          <w:position w:val="0"/>
          <w:shd w:val="clear" w:color="auto" w:fill="auto"/>
          <w:lang w:val="en-US" w:eastAsia="en-US" w:bidi="en-US"/>
        </w:rPr>
        <w:t>(q.υ.).</w:t>
      </w:r>
      <w:r>
        <w:rPr>
          <w:rFonts w:ascii="Times New Roman" w:eastAsia="Times New Roman" w:hAnsi="Times New Roman" w:cs="Times New Roman"/>
          <w:color w:val="000000"/>
          <w:spacing w:val="0"/>
          <w:w w:val="100"/>
          <w:position w:val="0"/>
          <w:shd w:val="clear" w:color="auto" w:fill="auto"/>
          <w:lang w:val="en-US" w:eastAsia="en-US" w:bidi="en-US"/>
        </w:rPr>
        <w:t xml:space="preserve"> The Sadhus, who are known also as Sanyasis, Gosains and Bairagis, are of various sects, hold peculiar opinions, indulge in strange practices, and subject themselves in many cases to cruel hardships and fantastic disciplines. They range in moral standing from the peripatetic philosopher to the idle vagabond. Some lead the life of contemplation, which Hindus consider especially holy; others pose as alchemists, physicians, fortune-tellers, palmists or acrobats; while others yet again practise voluntary tortures, such as holding one arm upright until it withers, or lying continually upon a bed of spikes. Some go about almost naked, or smeared all over with ashes; but the usual garment of an ascetic is stained an orange red with ochre. Hence was derived the colour of the Mahratta flag. Alone among Hindus their dead are buried instead of being burned, usually in a sitting posture, and often in salt. During the disturbed period of Indian history, before British rule was firmly established, armed bodies of Sanyasis or Gosains attached themselves to the Mahratta armies, and also ravaged Northern Bengal in the time of Warren Hastings.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SA'DÌ (c. 1184-1292). </w:t>
      </w:r>
      <w:r>
        <w:rPr>
          <w:rFonts w:ascii="Times New Roman" w:eastAsia="Times New Roman" w:hAnsi="Times New Roman" w:cs="Times New Roman"/>
          <w:smallCaps/>
          <w:color w:val="000000"/>
          <w:spacing w:val="0"/>
          <w:w w:val="100"/>
          <w:position w:val="0"/>
          <w:shd w:val="clear" w:color="auto" w:fill="auto"/>
          <w:lang w:val="en-US" w:eastAsia="en-US" w:bidi="en-US"/>
        </w:rPr>
        <w:t>MuṢliḤ-uddĪn,</w:t>
      </w:r>
      <w:r>
        <w:rPr>
          <w:rFonts w:ascii="Times New Roman" w:eastAsia="Times New Roman" w:hAnsi="Times New Roman" w:cs="Times New Roman"/>
          <w:color w:val="000000"/>
          <w:spacing w:val="0"/>
          <w:w w:val="100"/>
          <w:position w:val="0"/>
          <w:shd w:val="clear" w:color="auto" w:fill="auto"/>
          <w:lang w:val="en-US" w:eastAsia="en-US" w:bidi="en-US"/>
        </w:rPr>
        <w:t xml:space="preserve"> or more correctly </w:t>
      </w:r>
      <w:r>
        <w:rPr>
          <w:rFonts w:ascii="Times New Roman" w:eastAsia="Times New Roman" w:hAnsi="Times New Roman" w:cs="Times New Roman"/>
          <w:smallCaps/>
          <w:color w:val="000000"/>
          <w:spacing w:val="0"/>
          <w:w w:val="100"/>
          <w:position w:val="0"/>
          <w:shd w:val="clear" w:color="auto" w:fill="auto"/>
          <w:lang w:val="en-US" w:eastAsia="en-US" w:bidi="en-US"/>
        </w:rPr>
        <w:t>Musharrif-uddĪn b. MuṢliḤ-uddĪn,</w:t>
      </w:r>
      <w:r>
        <w:rPr>
          <w:rFonts w:ascii="Times New Roman" w:eastAsia="Times New Roman" w:hAnsi="Times New Roman" w:cs="Times New Roman"/>
          <w:color w:val="000000"/>
          <w:spacing w:val="0"/>
          <w:w w:val="100"/>
          <w:position w:val="0"/>
          <w:shd w:val="clear" w:color="auto" w:fill="auto"/>
          <w:lang w:val="en-US" w:eastAsia="en-US" w:bidi="en-US"/>
        </w:rPr>
        <w:t xml:space="preserve"> the greatest didactic poet and the most popular writer of Persia, was born about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1184 </w:t>
      </w:r>
      <w:r>
        <w:rPr>
          <w:rFonts w:ascii="Times New Roman" w:eastAsia="Times New Roman" w:hAnsi="Times New Roman" w:cs="Times New Roman"/>
          <w:smallCaps/>
          <w:color w:val="000000"/>
          <w:spacing w:val="0"/>
          <w:w w:val="100"/>
          <w:position w:val="0"/>
          <w:shd w:val="clear" w:color="auto" w:fill="auto"/>
          <w:lang w:val="en-US" w:eastAsia="en-US" w:bidi="en-US"/>
        </w:rPr>
        <w:t>(a.h.</w:t>
      </w:r>
      <w:r>
        <w:rPr>
          <w:rFonts w:ascii="Times New Roman" w:eastAsia="Times New Roman" w:hAnsi="Times New Roman" w:cs="Times New Roman"/>
          <w:color w:val="000000"/>
          <w:spacing w:val="0"/>
          <w:w w:val="100"/>
          <w:position w:val="0"/>
          <w:shd w:val="clear" w:color="auto" w:fill="auto"/>
          <w:lang w:val="en-US" w:eastAsia="en-US" w:bidi="en-US"/>
        </w:rPr>
        <w:t xml:space="preserve"> 580) in Shiraz. After the premature death of his father he was taken under the protection of Sa'd b. Zengî, the atābeg of Fars, who sent him to pursue his studies in the famous medresseh of Baghdad, the Nizämiyya, where he remained about thirty years (1196-1224). About 1210 </w:t>
      </w:r>
      <w:r>
        <w:rPr>
          <w:rFonts w:ascii="Times New Roman" w:eastAsia="Times New Roman" w:hAnsi="Times New Roman" w:cs="Times New Roman"/>
          <w:smallCaps/>
          <w:color w:val="000000"/>
          <w:spacing w:val="0"/>
          <w:w w:val="100"/>
          <w:position w:val="0"/>
          <w:shd w:val="clear" w:color="auto" w:fill="auto"/>
          <w:lang w:val="en-US" w:eastAsia="en-US" w:bidi="en-US"/>
        </w:rPr>
        <w:t>(a.ii.</w:t>
      </w:r>
      <w:r>
        <w:rPr>
          <w:rFonts w:ascii="Times New Roman" w:eastAsia="Times New Roman" w:hAnsi="Times New Roman" w:cs="Times New Roman"/>
          <w:color w:val="000000"/>
          <w:spacing w:val="0"/>
          <w:w w:val="100"/>
          <w:position w:val="0"/>
          <w:shd w:val="clear" w:color="auto" w:fill="auto"/>
          <w:lang w:val="en-US" w:eastAsia="en-US" w:bidi="en-US"/>
        </w:rPr>
        <w:t xml:space="preserve"> 606) his literary fame had spread as far as Kashgar in Turkistan, which the young poet (who in honour of his patron had assumed the name of Sa’dī) visited in his twenty-sixth or twenty-seventh year. After mastering alI the dogmatic disciplines of the Islamitic faith he turned his attention first to practical philo</w:t>
        <w:softHyphen/>
        <w:t xml:space="preserve">sophy, and later on to the more ideal tenets of Sufic pantheism, under the spiritual guidance of the famous sheikh Shihāb-uddīn Umar Suhrawardī (died 1234; </w:t>
      </w:r>
      <w:r>
        <w:rPr>
          <w:rFonts w:ascii="Times New Roman" w:eastAsia="Times New Roman" w:hAnsi="Times New Roman" w:cs="Times New Roman"/>
          <w:smallCaps/>
          <w:color w:val="000000"/>
          <w:spacing w:val="0"/>
          <w:w w:val="100"/>
          <w:position w:val="0"/>
          <w:shd w:val="clear" w:color="auto" w:fill="auto"/>
          <w:lang w:val="en-US" w:eastAsia="en-US" w:bidi="en-US"/>
        </w:rPr>
        <w:t>a.h.</w:t>
      </w:r>
      <w:r>
        <w:rPr>
          <w:rFonts w:ascii="Times New Roman" w:eastAsia="Times New Roman" w:hAnsi="Times New Roman" w:cs="Times New Roman"/>
          <w:color w:val="000000"/>
          <w:spacing w:val="0"/>
          <w:w w:val="100"/>
          <w:position w:val="0"/>
          <w:shd w:val="clear" w:color="auto" w:fill="auto"/>
          <w:lang w:val="en-US" w:eastAsia="en-US" w:bidi="en-US"/>
        </w:rPr>
        <w:t xml:space="preserve"> 632). Between 1220 and 1225 he paid a visit to a friend in Isfahan, went from there to Damascus, and returned to Isfahan just at the time of the inroads of the Mongols, when the atãbeg Sa'd had been deposed by the victorious Khwarizm ruler of Ghiyāss-uddīn (1226). Sadly grieved by the misfortune of his patron and disgusted with the miserable condition of Persia, Sa'dī quitted Shīrāz and entered upon the second period of his life—that of his wanderings (1226-1256). He proceeded via Balkh, Ghazni and the Punjab to Gujarāt, on the western coast of which he visited the famous shrine of Siva in Somnath. After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prolonged stay in Delhi, where he learnt Hindūstānī, he sailed for Yemen. Overcome with grief at the loss of a beloved child (when he had married is not known), he undertook an expedition into Abyssinia and a pilgrimage to Mecca and Medina. Thence he directed his steps towards Syria and lived as a renowned sheikh for a considerable time in Damascus, which he had once already visited. There and in Baalbek he added to his literary renown that of a first-rate pulpit orator. Specimens of his spiritual addresses are preserved in the five homilies (on the fugitiveness of human life, on faith and fear of God, on love towards God, on rest in God and on the search for God). At last, weary of Damascus, he withdrew into the desert near Jerusalem and led a solitary wandering life, till one day he was taken captive by a troop of Frankish soldiers, brought to Tripoli, and condemned to forced labour in the trenches of the fortress. After enduring countless hardships, he was eventually rescued by a rich friend in Aleppo, who paid his ransom, and gave him his daughter in marriage. But Sa'dī, unable to live with his quarrelsome wife, set out on fresh travels, first to North Africa and then through the length and breadth of Asia Minor and the adjoining countries. Not until he had passed his seventieth year did he return to Shiraz (about 1256; </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A.H. </w:t>
      </w:r>
      <w:r>
        <w:rPr>
          <w:rFonts w:ascii="Times New Roman" w:eastAsia="Times New Roman" w:hAnsi="Times New Roman" w:cs="Times New Roman"/>
          <w:color w:val="000000"/>
          <w:spacing w:val="0"/>
          <w:w w:val="100"/>
          <w:position w:val="0"/>
          <w:shd w:val="clear" w:color="auto" w:fill="auto"/>
          <w:lang w:val="en-US" w:eastAsia="en-US" w:bidi="en-US"/>
        </w:rPr>
        <w:t xml:space="preserve">653). Finding the place of his birth tranquil and prosperous under the wise rule of Abūbakr b. Sa’d, the son of his old patron (1226-1260; </w:t>
      </w:r>
      <w:r>
        <w:rPr>
          <w:rFonts w:ascii="Times New Roman" w:eastAsia="Times New Roman" w:hAnsi="Times New Roman" w:cs="Times New Roman"/>
          <w:smallCaps/>
          <w:color w:val="000000"/>
          <w:spacing w:val="0"/>
          <w:w w:val="100"/>
          <w:position w:val="0"/>
          <w:shd w:val="clear" w:color="auto" w:fill="auto"/>
          <w:lang w:val="en-US" w:eastAsia="en-US" w:bidi="en-US"/>
        </w:rPr>
        <w:t>a.h.</w:t>
      </w:r>
      <w:r>
        <w:rPr>
          <w:rFonts w:ascii="Times New Roman" w:eastAsia="Times New Roman" w:hAnsi="Times New Roman" w:cs="Times New Roman"/>
          <w:color w:val="000000"/>
          <w:spacing w:val="0"/>
          <w:w w:val="100"/>
          <w:position w:val="0"/>
          <w:shd w:val="clear" w:color="auto" w:fill="auto"/>
          <w:lang w:val="en-US" w:eastAsia="en-US" w:bidi="en-US"/>
        </w:rPr>
        <w:t xml:space="preserve"> 623-658), the aged poet took up his permanent abode, interrupted only by repeated pilgrimages to Mecca, and devoted the remainder of his life to Sūfic con- templation and poetical composition. He died at Shïrãz in 1292 </w:t>
      </w:r>
      <w:r>
        <w:rPr>
          <w:rFonts w:ascii="Times New Roman" w:eastAsia="Times New Roman" w:hAnsi="Times New Roman" w:cs="Times New Roman"/>
          <w:smallCaps/>
          <w:color w:val="000000"/>
          <w:spacing w:val="0"/>
          <w:w w:val="100"/>
          <w:position w:val="0"/>
          <w:shd w:val="clear" w:color="auto" w:fill="auto"/>
          <w:lang w:val="en-US" w:eastAsia="en-US" w:bidi="en-US"/>
        </w:rPr>
        <w:t>(a.h.</w:t>
      </w:r>
      <w:r>
        <w:rPr>
          <w:rFonts w:ascii="Times New Roman" w:eastAsia="Times New Roman" w:hAnsi="Times New Roman" w:cs="Times New Roman"/>
          <w:color w:val="000000"/>
          <w:spacing w:val="0"/>
          <w:w w:val="100"/>
          <w:position w:val="0"/>
          <w:shd w:val="clear" w:color="auto" w:fill="auto"/>
          <w:lang w:val="en-US" w:eastAsia="en-US" w:bidi="en-US"/>
        </w:rPr>
        <w:t xml:space="preserve"> 691) according to Hamdallãh Mustaufī (who wrote only forty years later), or in December 1291 </w:t>
      </w:r>
      <w:r>
        <w:rPr>
          <w:rFonts w:ascii="Times New Roman" w:eastAsia="Times New Roman" w:hAnsi="Times New Roman" w:cs="Times New Roman"/>
          <w:smallCaps/>
          <w:color w:val="000000"/>
          <w:spacing w:val="0"/>
          <w:w w:val="100"/>
          <w:position w:val="0"/>
          <w:shd w:val="clear" w:color="auto" w:fill="auto"/>
          <w:lang w:val="en-US" w:eastAsia="en-US" w:bidi="en-US"/>
        </w:rPr>
        <w:t>(a.h.</w:t>
      </w:r>
      <w:r>
        <w:rPr>
          <w:rFonts w:ascii="Times New Roman" w:eastAsia="Times New Roman" w:hAnsi="Times New Roman" w:cs="Times New Roman"/>
          <w:color w:val="000000"/>
          <w:spacing w:val="0"/>
          <w:w w:val="100"/>
          <w:position w:val="0"/>
          <w:shd w:val="clear" w:color="auto" w:fill="auto"/>
          <w:lang w:val="en-US" w:eastAsia="en-US" w:bidi="en-US"/>
        </w:rPr>
        <w:t xml:space="preserve"> 690), at the age of 110 lunar years.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experience çf the world gained during his travels, his intimate acquaintance with the various countries he had visited, his insight into human character, together with an inborn loftiness of thought and the purest moral standard, made it easy for Sa'di to compose in the short space of three years his two master</w:t>
        <w:softHyphen/>
        <w:t xml:space="preserve">pieces, which have immortalized his name, the </w:t>
      </w:r>
      <w:r>
        <w:rPr>
          <w:rFonts w:ascii="Times New Roman" w:eastAsia="Times New Roman" w:hAnsi="Times New Roman" w:cs="Times New Roman"/>
          <w:i/>
          <w:iCs/>
          <w:color w:val="000000"/>
          <w:spacing w:val="0"/>
          <w:w w:val="100"/>
          <w:position w:val="0"/>
          <w:shd w:val="clear" w:color="auto" w:fill="auto"/>
          <w:lang w:val="en-US" w:eastAsia="en-US" w:bidi="en-US"/>
        </w:rPr>
        <w:t>Büslän</w:t>
      </w:r>
      <w:r>
        <w:rPr>
          <w:rFonts w:ascii="Times New Roman" w:eastAsia="Times New Roman" w:hAnsi="Times New Roman" w:cs="Times New Roman"/>
          <w:color w:val="000000"/>
          <w:spacing w:val="0"/>
          <w:w w:val="100"/>
          <w:position w:val="0"/>
          <w:shd w:val="clear" w:color="auto" w:fill="auto"/>
          <w:lang w:val="en-US" w:eastAsia="en-US" w:bidi="en-US"/>
        </w:rPr>
        <w:t xml:space="preserve"> or “ Fruit- garden ” (1257) and the </w:t>
      </w:r>
      <w:r>
        <w:rPr>
          <w:rFonts w:ascii="Times New Roman" w:eastAsia="Times New Roman" w:hAnsi="Times New Roman" w:cs="Times New Roman"/>
          <w:i/>
          <w:iCs/>
          <w:color w:val="000000"/>
          <w:spacing w:val="0"/>
          <w:w w:val="100"/>
          <w:position w:val="0"/>
          <w:shd w:val="clear" w:color="auto" w:fill="auto"/>
          <w:lang w:val="en-US" w:eastAsia="en-US" w:bidi="en-US"/>
        </w:rPr>
        <w:t>Gulistãn</w:t>
      </w:r>
      <w:r>
        <w:rPr>
          <w:rFonts w:ascii="Times New Roman" w:eastAsia="Times New Roman" w:hAnsi="Times New Roman" w:cs="Times New Roman"/>
          <w:color w:val="000000"/>
          <w:spacing w:val="0"/>
          <w:w w:val="100"/>
          <w:position w:val="0"/>
          <w:shd w:val="clear" w:color="auto" w:fill="auto"/>
          <w:lang w:val="en-US" w:eastAsia="en-US" w:bidi="en-US"/>
        </w:rPr>
        <w:t xml:space="preserve"> or “Rose-garden” (1258), both dedicated to the reigning atãbeg Abü Bekr. The former, also called </w:t>
      </w:r>
      <w:r>
        <w:rPr>
          <w:rFonts w:ascii="Times New Roman" w:eastAsia="Times New Roman" w:hAnsi="Times New Roman" w:cs="Times New Roman"/>
          <w:i/>
          <w:iCs/>
          <w:color w:val="000000"/>
          <w:spacing w:val="0"/>
          <w:w w:val="100"/>
          <w:position w:val="0"/>
          <w:shd w:val="clear" w:color="auto" w:fill="auto"/>
          <w:lang w:val="en-US" w:eastAsia="en-US" w:bidi="en-US"/>
        </w:rPr>
        <w:t>Sa'dinãma,</w:t>
      </w:r>
      <w:r>
        <w:rPr>
          <w:rFonts w:ascii="Times New Roman" w:eastAsia="Times New Roman" w:hAnsi="Times New Roman" w:cs="Times New Roman"/>
          <w:color w:val="000000"/>
          <w:spacing w:val="0"/>
          <w:w w:val="100"/>
          <w:position w:val="0"/>
          <w:shd w:val="clear" w:color="auto" w:fill="auto"/>
          <w:lang w:val="en-US" w:eastAsia="en-US" w:bidi="en-US"/>
        </w:rPr>
        <w:t xml:space="preserve"> is a kind of didactic epopee in ten chapters and double-rhymed verses, which passes in review the highest philosophical and religious questions, not seldom in the very spirit of Christianity, and abounds with sound ethical maxims and matchless gems of transcendental speculation. The latter is a prose work of a similar tendency in eight chapters, interspersed with numerous verses and illustrated, like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Būstān, </w:t>
      </w:r>
      <w:r>
        <w:rPr>
          <w:rFonts w:ascii="Times New Roman" w:eastAsia="Times New Roman" w:hAnsi="Times New Roman" w:cs="Times New Roman"/>
          <w:color w:val="000000"/>
          <w:spacing w:val="0"/>
          <w:w w:val="100"/>
          <w:position w:val="0"/>
          <w:shd w:val="clear" w:color="auto" w:fill="auto"/>
          <w:lang w:val="en-US" w:eastAsia="en-US" w:bidi="en-US"/>
        </w:rPr>
        <w:t>by a rich store of clever tales and charming anecdotes; it discusses more or less the same topics as the larger work, but has acquired a much greater popularity in both the East and the West, owing to its easier and more varied style, its attractive</w:t>
      </w:r>
    </w:p>
    <w:sectPr>
      <w:footnotePr>
        <w:pos w:val="pageBottom"/>
        <w:numFmt w:val="decimal"/>
        <w:numRestart w:val="continuous"/>
      </w:footnotePr>
      <w:pgSz w:w="12240" w:h="15840"/>
      <w:pgMar w:top="1036" w:left="908" w:right="973" w:bottom="49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