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assimilation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took </w:t>
      </w:r>
      <w:r>
        <w:rPr>
          <w:rFonts w:ascii="Times New Roman" w:eastAsia="Times New Roman" w:hAnsi="Times New Roman" w:cs="Times New Roman"/>
          <w:color w:val="000000"/>
          <w:spacing w:val="0"/>
          <w:w w:val="100"/>
          <w:position w:val="0"/>
          <w:sz w:val="17"/>
          <w:szCs w:val="17"/>
          <w:shd w:val="clear" w:color="auto" w:fill="auto"/>
          <w:lang w:val="fr-FR" w:eastAsia="fr-FR" w:bidi="fr-FR"/>
        </w:rPr>
        <w:t>place. In times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persecution the martyrs were buried among the rest of the faithful, but one can understand that their tombs, at which gatherings took place at least on the day of their anniversary, were distinguished from the ordinary tombs by some sign. When the peace of the Church permitted it, they were enshrined in chapels and often in sumptuous basilicas. In the West these buildings were raised over the tomb, which was left intact ; but in the East there was no hesitation in disturbing the graves of the saints and removing the bodies to a basilica built to receive them. It is in this way that the relics of St Babylas were placed in the sanctuary built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Daphne (Socrates,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 eccl.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18; Sozomen,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 eccl.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19). As a matter of fact, the discipline of the Eastern churches with regard to the relics was, from the very beginning, much less severe than that of Rome and a great number of the Western churches. From the 4th century on are recorded cases of translation of the bodies of saints, and they did not even shrink from dividing the sacred relics. In the West the principle already laid down by St Gregory the Great in his letter to Constantia, namely that of not disturbing the bodies of the saints, was for a long time the rule in all cases, and the portions distributed to the churches were simply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brandea,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is to say, linen which had lain upon the tomb of the saint, or, in other words, representative relics. But as early as the 7th century there is proof of a relaxation of this rule which had so well safeguarded the authenticity of the relics. It was finally disregarded altogether; in the 9th century translations of relics were extremely frequent, and led to inextricable confusion in the future.</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to the belief in the efficacy of the prayers of the saints for those still living on earth, and similarly in the efficacy of the prayers addressed to the saints, St Cyril of Jerusalem indicates in the following words the advantages of the commemoration of the saints: “ Then we make mention also of those who have fallen asleep before us, first of patriarchs, prophets, apostles, martyrs, that God would at theirì prayers and intercessions receive our supplication ’’ (Cat.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9). It is difficult to understand a much-discussed passage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Origen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oratione,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 except as applying to prayer addressed to the saints. The Fathers of the * 4th century, and notably the Cappadocian Fathers, provide us with a quantity of evidence on this subject, which leaves no doubt as to the practice of the invocation of saints, nor of the complete approval with which it was viewed. St Basil, for example, says: “ I accept also the holy apostles, prophets and martyrs, and I call upon them for their intercession to God, that by them, that is by their mediation, the good God may be propitious to me, and that I may be granted redemption for my offences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360).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cult of the saints early met with opposition, in answer to which the Church Fathers had to defend its lawfulness and explain its nature. The Church of Smyrna had early to explain its position in this matter with regard to St Polycarp: “ We worship Christ, as the Son of God; as to the martyrs, we love them as the disciples and imitators of the Lord ”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(Martyrium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Polycarpi,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 3). St Cyril of Alexandria defends the worship of the martyrs against Julian; St Asterius and Theodoret against the pagans in general, and they all lay emphasis on the fact that the saints are not looked upon as gods by the Christians, and that the honours paid to them are of quite a different kind from the adoration reserved to God alone. St Jerome argued against Vigilantius with his accustomed vehemence, and especially meets the objection based on the resem- blance between these rites and those of the pagans. But it is above all St Augustine who in his refutation of Faustus, as well as in his sermons and elsewhere, clearly defined the true character of the honours paid to the saints; “ Non eis templa, non eis altaria, non sacrificia exhibemus. Non eis sacerdotes offerunt, absit, Deo praestantur. Etiam apud memorias sanctorum martyrum cum offerimus,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nonne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Deo offerimus ? . . .Quando audistis diei apud memoriam sancti Theogenis: offero tibi, sancte Theogenis: aut ? offero tibi Petre, aut: offero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tibi Paule?”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(Sermo,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273. 7; cf.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Contra Faustum,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21). The undoubted abuses which grew up, especially during the middle ages, raised up, at the time of the Reformation, fresh adversaries of the cult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saints. The council of Trent, while reproving all superstitious practices in the invocation of the saints, the veneration of relics and the use of images, expresses as follows the doctrine of the Roman Church : “ That the saints who reign with Christ offer to God their prayers for men; that it is good and useful to invoke them by supplication and to have recourse to their aid and assistance in order to obtain from God His benefits through His Son our Saviour Jesus Christ, who alone is our Saviour and Redeemer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xxv.). At the present day the canonization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saints is reserved in the Roman Church to the sovereign pontiff. The Anglican Church, while still commemorating many of the Catholic saints, has not, since the Reformation, admitted any new names to the authoritative list, with the single exception of that of King Charles L, whose “ martyrdom ” was celebrated by authority from the Restoration until the year 1859. </w:t>
      </w:r>
    </w:p>
    <w:p>
      <w:pPr>
        <w:pStyle w:val="Style3"/>
        <w:keepNext w:val="0"/>
        <w:keepLines w:val="0"/>
        <w:widowControl w:val="0"/>
        <w:shd w:val="clear" w:color="auto" w:fill="auto"/>
        <w:tabs>
          <w:tab w:pos="4190"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D. Petavius,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theologicis dogmatibus,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incarnatione,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xiv.;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Suarez,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Defensio fidei catholicae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(against King James L); L. Duchesne,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Origines du culte chrétien,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ch. viii.; E. Lucius,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Anfänge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Heiligenkults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Percival,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The Invocation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Saints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Forbes,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Explanation of the Thirty-nine Articles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(Oxford, 1878).</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AFFRIQUE, a town of Southern France, capital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Aveyron, </w:t>
      </w:r>
      <w:r>
        <w:rPr>
          <w:rFonts w:ascii="Times New Roman" w:eastAsia="Times New Roman" w:hAnsi="Times New Roman" w:cs="Times New Roman"/>
          <w:color w:val="000000"/>
          <w:spacing w:val="0"/>
          <w:w w:val="100"/>
          <w:position w:val="0"/>
          <w:shd w:val="clear" w:color="auto" w:fill="auto"/>
          <w:lang w:val="en-US" w:eastAsia="en-US" w:bidi="en-US"/>
        </w:rPr>
        <w:t xml:space="preserve">on the Sorgues, 68 m. N.N.W. of Beziers on a branch line of the railway to Clermont </w:t>
      </w:r>
      <w:r>
        <w:rPr>
          <w:rFonts w:ascii="Times New Roman" w:eastAsia="Times New Roman" w:hAnsi="Times New Roman" w:cs="Times New Roman"/>
          <w:color w:val="000000"/>
          <w:spacing w:val="0"/>
          <w:w w:val="100"/>
          <w:position w:val="0"/>
          <w:shd w:val="clear" w:color="auto" w:fill="auto"/>
          <w:lang w:val="fr-FR" w:eastAsia="fr-FR" w:bidi="fr-FR"/>
        </w:rPr>
        <w:t xml:space="preserve">Ferrand. </w:t>
      </w:r>
      <w:r>
        <w:rPr>
          <w:rFonts w:ascii="Times New Roman" w:eastAsia="Times New Roman" w:hAnsi="Times New Roman" w:cs="Times New Roman"/>
          <w:color w:val="000000"/>
          <w:spacing w:val="0"/>
          <w:w w:val="100"/>
          <w:position w:val="0"/>
          <w:shd w:val="clear" w:color="auto" w:fill="auto"/>
          <w:lang w:val="en-US" w:eastAsia="en-US" w:bidi="en-US"/>
        </w:rPr>
        <w:t>Pop. (1906) town, 4473; commune 6571. An old bridge over the Sorgues and some megaliths in the neighbourhood, especially the dolmen at Tiergues, are of anti- quarian interest. There is considerable trade in wool and Roquefort cheese.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Affrique grew up in the 6th century around the tomb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Africain,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bishop of Comminges. In the 12th century a fortress was built on the neighbouring rock of Caylus. The possession of St Affrique was vigorously contested during the wars of religion. It was eventually occupied by the Huguenots till 1629, when it was seized and dismantled by a royal army.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ALBANS, EARLS AND DUKES OF. The English title of earl of St Albans was first borne by Richard Bourke, or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Burgh, 4th earl of Clanricarde (d. 1635), who was lord president of Connaught from 1604 to 1616 and governor of Galway in 1616. In 1624 he was made Baron Somerhill and Viscount Tunbridge in the English peerage, and in 1628 earl of St Albans, Baron Imanney and Viscount Galway. He became the third husband of Frances, dowager countess of Essex, whose first husband had been Sir Philip Sidney, and his English titles became extinct on the death of his only son, Ulick, 2nd earl of St Albans and marquess of Clanricarde, in 1657.</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second creation of an earl of St Albans was in 1660, when Henry, Baron Jermyn, was made an earl under this title; but again it became extinct on his death in 1684.</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dukedom of St Albans was created in 1684 in favour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Charles Beauclerk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(1670-1726), a natural son of Charles II. by Nell Gwynne. Born in London on the 8th of May 1670, Charles was made Baron Hedington and earl of Burford in December 1676. He became colonel in the 8th regiment of horse in 1687, and took service with the emperor Leopold I., being present at the siege of Belgrade in 1688. After the battle of Landen in 1693, William III. made him captain of the gentlemen pensioners, and four years later gentleman of the bedchamber His father had given him the re-version of the office of hereditary master falconer and that of heredi- tary registrar of the Court of Chancery, which fell vacant in 1698. His Whig sentiments prevented his advancement under Anne, but he was restored to favour at the accession of George I. He died at Bath on the 10th of May 1726. His wife Diana, daughter and heiress of Aubrey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Vere, last earl of Oxford, was a well-known beauty, who became lady of the bedchamber to Caroline, princess of Wales, and survived until the 15th of January 1742. Charles was succeeded by his eldest son,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Charles Beauclerk,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duke of St Albans (1696-1751), while his youngest son, Lord Aubrey Beauclerk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1710-1741), became a captain in the royal navy, and perished in a fight in the West Indies on the 22nd of March 1741 The second duke’s son and heir,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George Beauclerk,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duke (1730-1786) was followed by his second cousin, George Beauclerk (1758-1787), 4th duke, who died unmarried, and was succeeded as 5th duke by his cousin, Aubrey Beauclerk (1740-1802). He was succeeded by his son Aubrey, the 6th duke (1765-1815), whose infant son Aubrey, 7th duke (b. 1815), died within a year of his father. The 8th duke, William (1766-1825), was the second son of the 5th duke. His son William (1801-1849), the 9th duke, married the actress Harriot Mellon, widow of the banker Thomas Coûtts. She was celebrated for her beauty, and was painted by Romney. Her fortune derived from her first husband passed to her granddaughter Angela, Baroness Burdett-Coutts in her own right. The 9th duke was succeeded by his son by a second marriage, William Amelius Aubrey </w:t>
      </w:r>
      <w:r>
        <w:rPr>
          <w:rFonts w:ascii="Times New Roman" w:eastAsia="Times New Roman" w:hAnsi="Times New Roman" w:cs="Times New Roman"/>
          <w:color w:val="000000"/>
          <w:spacing w:val="0"/>
          <w:w w:val="100"/>
          <w:position w:val="0"/>
          <w:sz w:val="17"/>
          <w:szCs w:val="17"/>
          <w:shd w:val="clear" w:color="auto" w:fill="auto"/>
          <w:lang w:val="fr-FR" w:eastAsia="fr-FR" w:bidi="fr-FR"/>
        </w:rPr>
        <w:t>de Vere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(1840-1898), whose son, Charles Victor Albert Aubrey </w:t>
      </w:r>
      <w:r>
        <w:rPr>
          <w:rFonts w:ascii="Times New Roman" w:eastAsia="Times New Roman" w:hAnsi="Times New Roman" w:cs="Times New Roman"/>
          <w:color w:val="000000"/>
          <w:spacing w:val="0"/>
          <w:w w:val="100"/>
          <w:position w:val="0"/>
          <w:sz w:val="17"/>
          <w:szCs w:val="17"/>
          <w:shd w:val="clear" w:color="auto" w:fill="auto"/>
          <w:lang w:val="fr-FR" w:eastAsia="fr-FR" w:bidi="fr-FR"/>
        </w:rPr>
        <w:t>de Vere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became the 11th holder of the title.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ST ALBANS, HENRY JERMYN,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Earl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1604-1684), was the third son of Sir Thomas Jermyn of Rushbroke, Suffolk. At an early age he won the favour of Queen Henrietta Maria, whose vice-chamberlain he became in 1628, and master of the horse in 1639. He was a consummate courtier, a man of dissolute morals, and much addicted to gambling. He was member for Bury St Edmunds in the Long Parliament and an active and reckless royalist. He took a prominent part in the army plot of 1641, and on its discovery fled to France. Returning to England in 1643, he resumed his personal attendance on the queen, and after being raised to the peerage as Baron Jermyn of St Edmunds- bury in that year, he accompanied Henrietta Maria in 1644 to</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