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first permanent settlement here was established in 1786; the township of St Albans (pop. in 1900, 1715) was incorporated in 1859, and the larger part of it was chartered as the city of St Albans in 1897. On the 19th of October 1864 Lieut. Bennett H. Young led from Canada about twenty-five un-uniformed Confederate soldiers m a raid on St Albans. They looted three banks, wounded several citizens, one mortally, and escaped to Canada, where Young and twelve others were arrested and brought to trial. But they were never punished, and even the $75,000 which had been taken from them on their arrest was returned to them. Later, however, the Canadian government refunded this amount to the banks. In 1866 and again in 1870 the Fenians made St Albans a base for attacks on Canada, and United States troops were sent here to preserve neutrality.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SAINT ALBIN, ALEXANDER CHARLES OMER ROUSSELIN </w:t>
      </w:r>
      <w:r>
        <w:rPr>
          <w:rFonts w:ascii="Times New Roman" w:eastAsia="Times New Roman" w:hAnsi="Times New Roman" w:cs="Times New Roman"/>
          <w:color w:val="000000"/>
          <w:spacing w:val="0"/>
          <w:w w:val="100"/>
          <w:position w:val="0"/>
          <w:shd w:val="clear" w:color="auto" w:fill="auto"/>
          <w:lang w:val="fr-FR" w:eastAsia="fr-FR" w:bidi="fr-FR"/>
        </w:rPr>
        <w:t xml:space="preserve">DE CORBEAU, </w:t>
      </w:r>
      <w:r>
        <w:rPr>
          <w:rFonts w:ascii="Times New Roman" w:eastAsia="Times New Roman" w:hAnsi="Times New Roman" w:cs="Times New Roman"/>
          <w:smallCaps/>
          <w:color w:val="000000"/>
          <w:spacing w:val="0"/>
          <w:w w:val="100"/>
          <w:position w:val="0"/>
          <w:shd w:val="clear" w:color="auto" w:fill="auto"/>
          <w:lang w:val="fr-FR" w:eastAsia="fr-FR" w:bidi="fr-FR"/>
        </w:rPr>
        <w:t>Comte de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(1773-1847), French politician, was born in Paris, of a noble </w:t>
      </w:r>
      <w:r>
        <w:rPr>
          <w:rFonts w:ascii="Times New Roman" w:eastAsia="Times New Roman" w:hAnsi="Times New Roman" w:cs="Times New Roman"/>
          <w:color w:val="000000"/>
          <w:spacing w:val="0"/>
          <w:w w:val="100"/>
          <w:position w:val="0"/>
          <w:shd w:val="clear" w:color="auto" w:fill="auto"/>
          <w:lang w:val="fr-FR" w:eastAsia="fr-FR" w:bidi="fr-FR"/>
        </w:rPr>
        <w:t xml:space="preserve">Dauphinois </w:t>
      </w:r>
      <w:r>
        <w:rPr>
          <w:rFonts w:ascii="Times New Roman" w:eastAsia="Times New Roman" w:hAnsi="Times New Roman" w:cs="Times New Roman"/>
          <w:color w:val="000000"/>
          <w:spacing w:val="0"/>
          <w:w w:val="100"/>
          <w:position w:val="0"/>
          <w:shd w:val="clear" w:color="auto" w:fill="auto"/>
          <w:lang w:val="en-US" w:eastAsia="en-US" w:bidi="en-US"/>
        </w:rPr>
        <w:t xml:space="preserve">family, and was educated at the </w:t>
      </w:r>
      <w:r>
        <w:rPr>
          <w:rFonts w:ascii="Times New Roman" w:eastAsia="Times New Roman" w:hAnsi="Times New Roman" w:cs="Times New Roman"/>
          <w:color w:val="000000"/>
          <w:spacing w:val="0"/>
          <w:w w:val="100"/>
          <w:position w:val="0"/>
          <w:shd w:val="clear" w:color="auto" w:fill="auto"/>
          <w:lang w:val="fr-FR" w:eastAsia="fr-FR" w:bidi="fr-FR"/>
        </w:rPr>
        <w:t xml:space="preserve">Collège </w:t>
      </w:r>
      <w:r>
        <w:rPr>
          <w:rFonts w:ascii="Times New Roman" w:eastAsia="Times New Roman" w:hAnsi="Times New Roman" w:cs="Times New Roman"/>
          <w:color w:val="000000"/>
          <w:spacing w:val="0"/>
          <w:w w:val="100"/>
          <w:position w:val="0"/>
          <w:shd w:val="clear" w:color="auto" w:fill="auto"/>
          <w:lang w:val="en-US" w:eastAsia="en-US" w:bidi="en-US"/>
        </w:rPr>
        <w:t xml:space="preserve">d’Harcourt. He embraced the revolutionary ideas with enthusiasm. As civil commissioner at Troyes he was accused of terrorism by some, and by the revolutionary tribunal of moderation. He was imprisoned for a short time in 1794. On his release the </w:t>
      </w:r>
      <w:r>
        <w:rPr>
          <w:rFonts w:ascii="Times New Roman" w:eastAsia="Times New Roman" w:hAnsi="Times New Roman" w:cs="Times New Roman"/>
          <w:color w:val="000000"/>
          <w:spacing w:val="0"/>
          <w:w w:val="100"/>
          <w:position w:val="0"/>
          <w:shd w:val="clear" w:color="auto" w:fill="auto"/>
          <w:lang w:val="fr-FR" w:eastAsia="fr-FR" w:bidi="fr-FR"/>
        </w:rPr>
        <w:t xml:space="preserve">Citoyen </w:t>
      </w:r>
      <w:r>
        <w:rPr>
          <w:rFonts w:ascii="Times New Roman" w:eastAsia="Times New Roman" w:hAnsi="Times New Roman" w:cs="Times New Roman"/>
          <w:color w:val="000000"/>
          <w:spacing w:val="0"/>
          <w:w w:val="100"/>
          <w:position w:val="0"/>
          <w:shd w:val="clear" w:color="auto" w:fill="auto"/>
          <w:lang w:val="en-US" w:eastAsia="en-US" w:bidi="en-US"/>
        </w:rPr>
        <w:t xml:space="preserve">Rousselin entered the ministry of the interior, and under the Directory he became secretary-general, and then civil commissioner of the Seine. Attached to the party of Bernadotte, he was looked on with suspicion by the imperial police, and during the later years of the empire spent his time in retirement at Provence. During the Hundred Days, however, he served under Carnot at the ministry of the interior. Under the Restoration he defended Liberal principles in the </w:t>
      </w:r>
      <w:r>
        <w:rPr>
          <w:rFonts w:ascii="Times New Roman" w:eastAsia="Times New Roman" w:hAnsi="Times New Roman" w:cs="Times New Roman"/>
          <w:i/>
          <w:iCs/>
          <w:color w:val="000000"/>
          <w:spacing w:val="0"/>
          <w:w w:val="100"/>
          <w:position w:val="0"/>
          <w:shd w:val="clear" w:color="auto" w:fill="auto"/>
          <w:lang w:val="fr-FR" w:eastAsia="fr-FR" w:bidi="fr-FR"/>
        </w:rPr>
        <w:t>Constitu</w:t>
        <w:softHyphen/>
        <w:t>tionnel,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which he was the founder. Although Louis Philippe had been his friend since the days of the Revolution, he accepted no office from the monarchy of July. He retired from the </w:t>
      </w:r>
      <w:r>
        <w:rPr>
          <w:rFonts w:ascii="Times New Roman" w:eastAsia="Times New Roman" w:hAnsi="Times New Roman" w:cs="Times New Roman"/>
          <w:i/>
          <w:iCs/>
          <w:color w:val="000000"/>
          <w:spacing w:val="0"/>
          <w:w w:val="100"/>
          <w:position w:val="0"/>
          <w:shd w:val="clear" w:color="auto" w:fill="auto"/>
          <w:lang w:val="fr-FR" w:eastAsia="fr-FR" w:bidi="fr-FR"/>
        </w:rPr>
        <w:t>Constitutionnel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1838, and died on the 15th of June 1847. His chief works deal with the soldiers of the Revolution. They are: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Vie </w:t>
      </w:r>
      <w:r>
        <w:rPr>
          <w:rFonts w:ascii="Times New Roman" w:eastAsia="Times New Roman" w:hAnsi="Times New Roman" w:cs="Times New Roman"/>
          <w:i/>
          <w:iCs/>
          <w:color w:val="000000"/>
          <w:spacing w:val="0"/>
          <w:w w:val="100"/>
          <w:position w:val="0"/>
          <w:shd w:val="clear" w:color="auto" w:fill="auto"/>
          <w:lang w:val="fr-FR" w:eastAsia="fr-FR" w:bidi="fr-FR"/>
        </w:rPr>
        <w:t>de Lazare Hoche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1798); </w:t>
      </w:r>
      <w:r>
        <w:rPr>
          <w:rFonts w:ascii="Times New Roman" w:eastAsia="Times New Roman" w:hAnsi="Times New Roman" w:cs="Times New Roman"/>
          <w:i/>
          <w:iCs/>
          <w:color w:val="000000"/>
          <w:spacing w:val="0"/>
          <w:w w:val="100"/>
          <w:position w:val="0"/>
          <w:shd w:val="clear" w:color="auto" w:fill="auto"/>
          <w:lang w:val="fr-FR" w:eastAsia="fr-FR" w:bidi="fr-FR"/>
        </w:rPr>
        <w:t>Notice historique sur le général Marbol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(1800); </w:t>
      </w:r>
      <w:r>
        <w:rPr>
          <w:rFonts w:ascii="Times New Roman" w:eastAsia="Times New Roman" w:hAnsi="Times New Roman" w:cs="Times New Roman"/>
          <w:i/>
          <w:iCs/>
          <w:color w:val="000000"/>
          <w:spacing w:val="0"/>
          <w:w w:val="100"/>
          <w:position w:val="0"/>
          <w:shd w:val="clear" w:color="auto" w:fill="auto"/>
          <w:lang w:val="fr-FR" w:eastAsia="fr-FR" w:bidi="fr-FR"/>
        </w:rPr>
        <w:t>M. de Championnel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(1860) </w:t>
      </w:r>
      <w:r>
        <w:rPr>
          <w:rFonts w:ascii="Times New Roman" w:eastAsia="Times New Roman" w:hAnsi="Times New Roman" w:cs="Times New Roman"/>
          <w:color w:val="000000"/>
          <w:spacing w:val="0"/>
          <w:w w:val="100"/>
          <w:position w:val="0"/>
          <w:shd w:val="clear" w:color="auto" w:fill="auto"/>
          <w:lang w:val="fr-FR" w:eastAsia="fr-FR" w:bidi="fr-FR"/>
        </w:rPr>
        <w:t xml:space="preserve">; and notices </w:t>
      </w:r>
      <w:r>
        <w:rPr>
          <w:rFonts w:ascii="Times New Roman" w:eastAsia="Times New Roman" w:hAnsi="Times New Roman" w:cs="Times New Roman"/>
          <w:color w:val="000000"/>
          <w:spacing w:val="0"/>
          <w:w w:val="100"/>
          <w:position w:val="0"/>
          <w:shd w:val="clear" w:color="auto" w:fill="auto"/>
          <w:lang w:val="en-US" w:eastAsia="en-US" w:bidi="en-US"/>
        </w:rPr>
        <w:t xml:space="preserve">of others posthumously published by his son, Hortensius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Saint Albin,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Documents </w:t>
      </w:r>
      <w:r>
        <w:rPr>
          <w:rFonts w:ascii="Times New Roman" w:eastAsia="Times New Roman" w:hAnsi="Times New Roman" w:cs="Times New Roman"/>
          <w:i/>
          <w:iCs/>
          <w:color w:val="000000"/>
          <w:spacing w:val="0"/>
          <w:w w:val="100"/>
          <w:position w:val="0"/>
          <w:shd w:val="clear" w:color="auto" w:fill="auto"/>
          <w:lang w:val="fr-FR" w:eastAsia="fr-FR" w:bidi="fr-FR"/>
        </w:rPr>
        <w:t xml:space="preserve">relatifs à la Révolution Française . . . </w:t>
      </w:r>
      <w:r>
        <w:rPr>
          <w:rFonts w:ascii="Times New Roman" w:eastAsia="Times New Roman" w:hAnsi="Times New Roman" w:cs="Times New Roman"/>
          <w:color w:val="000000"/>
          <w:spacing w:val="0"/>
          <w:w w:val="100"/>
          <w:position w:val="0"/>
          <w:shd w:val="clear" w:color="auto" w:fill="auto"/>
          <w:lang w:val="en-US" w:eastAsia="en-US" w:bidi="en-US"/>
        </w:rPr>
        <w:t>(1873).</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ST ALDEGONDE, PHILIPS VAN MARNIX, </w:t>
      </w:r>
      <w:r>
        <w:rPr>
          <w:rFonts w:ascii="Times New Roman" w:eastAsia="Times New Roman" w:hAnsi="Times New Roman" w:cs="Times New Roman"/>
          <w:smallCaps/>
          <w:color w:val="000000"/>
          <w:spacing w:val="0"/>
          <w:w w:val="100"/>
          <w:position w:val="0"/>
          <w:shd w:val="clear" w:color="auto" w:fill="auto"/>
          <w:lang w:val="de-DE" w:eastAsia="de-DE" w:bidi="de-DE"/>
        </w:rPr>
        <w:t xml:space="preserve">Heer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van </w:t>
      </w:r>
      <w:r>
        <w:rPr>
          <w:rFonts w:ascii="Times New Roman" w:eastAsia="Times New Roman" w:hAnsi="Times New Roman" w:cs="Times New Roman"/>
          <w:color w:val="000000"/>
          <w:spacing w:val="0"/>
          <w:w w:val="100"/>
          <w:position w:val="0"/>
          <w:shd w:val="clear" w:color="auto" w:fill="auto"/>
          <w:lang w:val="en-US" w:eastAsia="en-US" w:bidi="en-US"/>
        </w:rPr>
        <w:t xml:space="preserve">(1538-1598), Dutch writer and statesman, was bom at Brussels, the son of Jacob van Marnix, baron of </w:t>
      </w:r>
      <w:r>
        <w:rPr>
          <w:rFonts w:ascii="Times New Roman" w:eastAsia="Times New Roman" w:hAnsi="Times New Roman" w:cs="Times New Roman"/>
          <w:color w:val="000000"/>
          <w:spacing w:val="0"/>
          <w:w w:val="100"/>
          <w:position w:val="0"/>
          <w:shd w:val="clear" w:color="auto" w:fill="auto"/>
          <w:lang w:val="de-DE" w:eastAsia="de-DE" w:bidi="de-DE"/>
        </w:rPr>
        <w:t xml:space="preserve">Pottes. </w:t>
      </w:r>
      <w:r>
        <w:rPr>
          <w:rFonts w:ascii="Times New Roman" w:eastAsia="Times New Roman" w:hAnsi="Times New Roman" w:cs="Times New Roman"/>
          <w:color w:val="000000"/>
          <w:spacing w:val="0"/>
          <w:w w:val="100"/>
          <w:position w:val="0"/>
          <w:shd w:val="clear" w:color="auto" w:fill="auto"/>
          <w:lang w:val="en-US" w:eastAsia="en-US" w:bidi="en-US"/>
        </w:rPr>
        <w:t xml:space="preserve">He studied theology under Calvin and Beza at Geneva and, returning to the Netherlands in 1560, threw himself energetically into the cause 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Reformation, taking an active part in the compromise of the nobles in 1565 and the assembly of St Trond. He made himself conspicuous by issuing a pamphlet in justification of the iconoclasts who devastated Flanders in 1566, and on Alva’s arrival next year had to fly the country. After spending some time in Friesland and in the Palatinate he was in 1570 taken into the service of William, prince of Orange, and in 1572 was sent as his representative to the first meeting of the States-general assembled at Dordrecht. In 1573 he was taken prisoner by the Spaniards at Maaslandsluys, but was exchanged in the following year. He was sent as the representative of the insurgent provinces to Paris and London, where he in vain attempted to secure the effective assistance of Queen Elizabeth. In 1578 he was at the diet of Worms, where he made an eloquent but fruitless appeal for aid to the German princes. Equally vain were his efforts in the same year to persuade the magistrates of Ghent to cease persecuting the Catholics in the city. He took a con- spicuous part in arranging the Union of Utrecht, and in 1583 was chosen burgomaster of Antwerp. In 1585 he surrendered the city, after a 13 months’ siege, to the Spaniards. Violently attacked by the English and by his own countrymen for this act, he retired from public affairs and, save for a mission to Paris in 1590, lived henceforth in Leiden or on his estate in Zeeland, where </w:t>
      </w:r>
      <w:r>
        <w:rPr>
          <w:rFonts w:ascii="Times New Roman" w:eastAsia="Times New Roman" w:hAnsi="Times New Roman" w:cs="Times New Roman"/>
          <w:color w:val="000000"/>
          <w:spacing w:val="0"/>
          <w:w w:val="100"/>
          <w:position w:val="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worked at a translation of the Bible. He died at Leiden on the 15th of December 1598.</w:t>
      </w:r>
    </w:p>
    <w:p>
      <w:pPr>
        <w:pStyle w:val="Style3"/>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Aldegonde, or Marnix (by which name he is very commonly known), is celebrated for his share in the great development of Dutch literature which followed the classical period represented by such writers as the poet and historian Pieter Hooft. Of his works the best known is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Roman Bee-hive </w:t>
      </w:r>
      <w:r>
        <w:rPr>
          <w:rFonts w:ascii="Times New Roman" w:eastAsia="Times New Roman" w:hAnsi="Times New Roman" w:cs="Times New Roman"/>
          <w:color w:val="000000"/>
          <w:spacing w:val="0"/>
          <w:w w:val="100"/>
          <w:position w:val="0"/>
          <w:shd w:val="clear" w:color="auto" w:fill="auto"/>
          <w:lang w:val="de-DE" w:eastAsia="de-DE" w:bidi="de-DE"/>
        </w:rPr>
        <w:t>(</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roomsche byen-korf</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in 1569 during his exile in Friesland, a bitter satire on the faith and</w:t>
      </w:r>
    </w:p>
    <w:p>
      <w:pPr>
        <w:pStyle w:val="Style3"/>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practices of the Roman Catholic Church. This was translated or adapted in French, German and English. As a poet, St Aldegonde is mainly known through his admirable metrical translation of the Psalms (1580), and the celebrated </w:t>
      </w:r>
      <w:r>
        <w:rPr>
          <w:rFonts w:ascii="Times New Roman" w:eastAsia="Times New Roman" w:hAnsi="Times New Roman" w:cs="Times New Roman"/>
          <w:i/>
          <w:iCs/>
          <w:color w:val="000000"/>
          <w:spacing w:val="0"/>
          <w:w w:val="100"/>
          <w:position w:val="0"/>
          <w:shd w:val="clear" w:color="auto" w:fill="auto"/>
          <w:lang w:val="en-US" w:eastAsia="en-US" w:bidi="en-US"/>
        </w:rPr>
        <w:t>Wilhelmus van Nassauwe,</w:t>
      </w:r>
      <w:r>
        <w:rPr>
          <w:rFonts w:ascii="Times New Roman" w:eastAsia="Times New Roman" w:hAnsi="Times New Roman" w:cs="Times New Roman"/>
          <w:color w:val="000000"/>
          <w:spacing w:val="0"/>
          <w:w w:val="100"/>
          <w:position w:val="0"/>
          <w:shd w:val="clear" w:color="auto" w:fill="auto"/>
          <w:lang w:val="en-US" w:eastAsia="en-US" w:bidi="en-US"/>
        </w:rPr>
        <w:t xml:space="preserve"> one of the two officially recognized national anthems of Holland, is also ascribed to him. His complete works, edited by Lacroix and Quinet, were published at Brussels in 7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(1855—1859), and his religious and theological writings, edited by Van Turenenbergen, at Paris, in 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(1871-1891).</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E. Quinet,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Marnix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St Aldegonde</w:t>
      </w:r>
      <w:r>
        <w:rPr>
          <w:rFonts w:ascii="Times New Roman" w:eastAsia="Times New Roman" w:hAnsi="Times New Roman" w:cs="Times New Roman"/>
          <w:color w:val="000000"/>
          <w:spacing w:val="0"/>
          <w:w w:val="100"/>
          <w:position w:val="0"/>
          <w:shd w:val="clear" w:color="auto" w:fill="auto"/>
          <w:lang w:val="en-US" w:eastAsia="en-US" w:bidi="en-US"/>
        </w:rPr>
        <w:t xml:space="preserve"> (Paris, 1854); Juste,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Marnix</w:t>
      </w:r>
      <w:r>
        <w:rPr>
          <w:rFonts w:ascii="Times New Roman" w:eastAsia="Times New Roman" w:hAnsi="Times New Roman" w:cs="Times New Roman"/>
          <w:color w:val="000000"/>
          <w:spacing w:val="0"/>
          <w:w w:val="100"/>
          <w:position w:val="0"/>
          <w:shd w:val="clear" w:color="auto" w:fill="auto"/>
          <w:lang w:val="en-US" w:eastAsia="en-US" w:bidi="en-US"/>
        </w:rPr>
        <w:t xml:space="preserve"> (The Hague, 1858); Frédéricq,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Marnix </w:t>
      </w:r>
      <w:r>
        <w:rPr>
          <w:rFonts w:ascii="Times New Roman" w:eastAsia="Times New Roman" w:hAnsi="Times New Roman" w:cs="Times New Roman"/>
          <w:i/>
          <w:iCs/>
          <w:color w:val="000000"/>
          <w:spacing w:val="0"/>
          <w:w w:val="100"/>
          <w:position w:val="0"/>
          <w:shd w:val="clear" w:color="auto" w:fill="auto"/>
          <w:lang w:val="fr-FR" w:eastAsia="fr-FR" w:bidi="fr-FR"/>
        </w:rPr>
        <w:t>en zi</w:t>
      </w:r>
      <w:r>
        <w:rPr>
          <w:rFonts w:ascii="Times New Roman" w:eastAsia="Times New Roman" w:hAnsi="Times New Roman" w:cs="Times New Roman"/>
          <w:i/>
          <w:iCs/>
          <w:color w:val="000000"/>
          <w:spacing w:val="0"/>
          <w:w w:val="100"/>
          <w:position w:val="0"/>
          <w:shd w:val="clear" w:color="auto" w:fill="auto"/>
          <w:lang w:val="en-US" w:eastAsia="en-US" w:bidi="en-US"/>
        </w:rPr>
        <w:t xml:space="preserve">jne </w:t>
      </w:r>
      <w:r>
        <w:rPr>
          <w:rFonts w:ascii="Times New Roman" w:eastAsia="Times New Roman" w:hAnsi="Times New Roman" w:cs="Times New Roman"/>
          <w:i/>
          <w:iCs/>
          <w:color w:val="000000"/>
          <w:spacing w:val="0"/>
          <w:w w:val="100"/>
          <w:position w:val="0"/>
          <w:shd w:val="clear" w:color="auto" w:fill="auto"/>
          <w:lang w:val="de-DE" w:eastAsia="de-DE" w:bidi="de-DE"/>
        </w:rPr>
        <w:t>neder</w:t>
      </w:r>
      <w:r>
        <w:rPr>
          <w:rFonts w:ascii="Times New Roman" w:eastAsia="Times New Roman" w:hAnsi="Times New Roman" w:cs="Times New Roman"/>
          <w:i/>
          <w:iCs/>
          <w:color w:val="000000"/>
          <w:spacing w:val="0"/>
          <w:w w:val="100"/>
          <w:position w:val="0"/>
          <w:shd w:val="clear" w:color="auto" w:fill="auto"/>
          <w:lang w:val="en-US" w:eastAsia="en-US" w:bidi="en-US"/>
        </w:rPr>
        <w:t>- landsche geschriften</w:t>
      </w:r>
      <w:r>
        <w:rPr>
          <w:rFonts w:ascii="Times New Roman" w:eastAsia="Times New Roman" w:hAnsi="Times New Roman" w:cs="Times New Roman"/>
          <w:color w:val="000000"/>
          <w:spacing w:val="0"/>
          <w:w w:val="100"/>
          <w:position w:val="0"/>
          <w:shd w:val="clear" w:color="auto" w:fill="auto"/>
          <w:lang w:val="en-US" w:eastAsia="en-US" w:bidi="en-US"/>
        </w:rPr>
        <w:t xml:space="preserve"> (Ghent, 1882); Tjalma, </w:t>
      </w:r>
      <w:r>
        <w:rPr>
          <w:rFonts w:ascii="Times New Roman" w:eastAsia="Times New Roman" w:hAnsi="Times New Roman" w:cs="Times New Roman"/>
          <w:i/>
          <w:iCs/>
          <w:color w:val="000000"/>
          <w:spacing w:val="0"/>
          <w:w w:val="100"/>
          <w:position w:val="0"/>
          <w:shd w:val="clear" w:color="auto" w:fill="auto"/>
          <w:lang w:val="en-US" w:eastAsia="en-US" w:bidi="en-US"/>
        </w:rPr>
        <w:t>Philips van Marnix, heer van Sint-Aldegonde</w:t>
      </w:r>
      <w:r>
        <w:rPr>
          <w:rFonts w:ascii="Times New Roman" w:eastAsia="Times New Roman" w:hAnsi="Times New Roman" w:cs="Times New Roman"/>
          <w:color w:val="000000"/>
          <w:spacing w:val="0"/>
          <w:w w:val="100"/>
          <w:position w:val="0"/>
          <w:shd w:val="clear" w:color="auto" w:fill="auto"/>
          <w:lang w:val="en-US" w:eastAsia="en-US" w:bidi="en-US"/>
        </w:rPr>
        <w:t xml:space="preserve"> (Amsterdam, 1896).</w:t>
      </w:r>
    </w:p>
    <w:p>
      <w:pPr>
        <w:pStyle w:val="Style10"/>
        <w:keepNext/>
        <w:keepLines/>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ST ALDWYN, MICHAEL EDWARD HICKS BEACH, 1</w:t>
      </w:r>
      <w:r>
        <w:rPr>
          <w:rFonts w:ascii="Times New Roman" w:eastAsia="Times New Roman" w:hAnsi="Times New Roman" w:cs="Times New Roman"/>
          <w:smallCaps/>
          <w:color w:val="000000"/>
          <w:spacing w:val="0"/>
          <w:w w:val="100"/>
          <w:position w:val="0"/>
          <w:sz w:val="18"/>
          <w:szCs w:val="18"/>
          <w:shd w:val="clear" w:color="auto" w:fill="auto"/>
          <w:lang w:val="de-DE" w:eastAsia="de-DE" w:bidi="de-DE"/>
        </w:rPr>
        <w:t>st</w:t>
      </w:r>
    </w:p>
    <w:p>
      <w:pPr>
        <w:pStyle w:val="Style3"/>
        <w:keepNext w:val="0"/>
        <w:keepLines w:val="0"/>
        <w:widowControl w:val="0"/>
        <w:shd w:val="clear" w:color="auto" w:fill="auto"/>
        <w:tabs>
          <w:tab w:pos="1709" w:val="left"/>
        </w:tabs>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Viscount</w:t>
      </w:r>
      <w:r>
        <w:rPr>
          <w:rFonts w:ascii="Times New Roman" w:eastAsia="Times New Roman" w:hAnsi="Times New Roman" w:cs="Times New Roman"/>
          <w:color w:val="000000"/>
          <w:spacing w:val="0"/>
          <w:w w:val="100"/>
          <w:position w:val="0"/>
          <w:shd w:val="clear" w:color="auto" w:fill="auto"/>
          <w:lang w:val="en-US" w:eastAsia="en-US" w:bidi="en-US"/>
        </w:rPr>
        <w:t xml:space="preserve"> (1837-</w:t>
        <w:tab/>
        <w:t>), English statesman, son of Sir Michael</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Hicks Beach, 8th Bart., whom he succeeded in 1854, was bom in London in 1837, and was educated at Eton and Christ Church, Oxford, where he graduated with a first class in the school of law arid modem history. In 1864 he was returned to parliament as a Conservative for East Gloucestershire, the county in which his estates of </w:t>
      </w:r>
      <w:r>
        <w:rPr>
          <w:rFonts w:ascii="Times New Roman" w:eastAsia="Times New Roman" w:hAnsi="Times New Roman" w:cs="Times New Roman"/>
          <w:color w:val="000000"/>
          <w:spacing w:val="0"/>
          <w:w w:val="100"/>
          <w:position w:val="0"/>
          <w:shd w:val="clear" w:color="auto" w:fill="auto"/>
          <w:lang w:val="de-DE" w:eastAsia="de-DE" w:bidi="de-DE"/>
        </w:rPr>
        <w:t xml:space="preserve">Williamstrip </w:t>
      </w:r>
      <w:r>
        <w:rPr>
          <w:rFonts w:ascii="Times New Roman" w:eastAsia="Times New Roman" w:hAnsi="Times New Roman" w:cs="Times New Roman"/>
          <w:color w:val="000000"/>
          <w:spacing w:val="0"/>
          <w:w w:val="100"/>
          <w:position w:val="0"/>
          <w:shd w:val="clear" w:color="auto" w:fill="auto"/>
          <w:lang w:val="en-US" w:eastAsia="en-US" w:bidi="en-US"/>
        </w:rPr>
        <w:t xml:space="preserve">Park were situated; and during 1868 he acted both as parliamentary secretary to the Poor Law Board and as under-secretary for the Home Department. In 1874 he was made chief secretary for Ireland, and was included in the Cabinet in 1877. From 1878 to 1880 he was secretary of state for the colonies. In 1885 he was elected for West Bristol, and the Conservative party having returned to power, became chancellor of the exchequer and leader of the House of Commons. After Mr Gladstone’s brief Home Rule Ministry in 1886 he entered Lord Salisbury’s next Cabinet again as Irish secretary, making way for Lord Randolph Churchill as leader of the House; but troubles with his eyesight compelled him to resign in 1887, and meanwhile Mr </w:t>
      </w:r>
      <w:r>
        <w:rPr>
          <w:rFonts w:ascii="Times New Roman" w:eastAsia="Times New Roman" w:hAnsi="Times New Roman" w:cs="Times New Roman"/>
          <w:color w:val="000000"/>
          <w:spacing w:val="0"/>
          <w:w w:val="100"/>
          <w:position w:val="0"/>
          <w:shd w:val="clear" w:color="auto" w:fill="auto"/>
          <w:lang w:val="de-DE" w:eastAsia="de-DE" w:bidi="de-DE"/>
        </w:rPr>
        <w:t xml:space="preserve">Goschen </w:t>
      </w:r>
      <w:r>
        <w:rPr>
          <w:rFonts w:ascii="Times New Roman" w:eastAsia="Times New Roman" w:hAnsi="Times New Roman" w:cs="Times New Roman"/>
          <w:color w:val="000000"/>
          <w:spacing w:val="0"/>
          <w:w w:val="100"/>
          <w:position w:val="0"/>
          <w:shd w:val="clear" w:color="auto" w:fill="auto"/>
          <w:lang w:val="en-US" w:eastAsia="en-US" w:bidi="en-US"/>
        </w:rPr>
        <w:t xml:space="preserve">replaced Lord Randolph as chancellor of the exchequer. From 1888 to 1892 Sir Michael Hicks Beach returned to active work as president of the Board of Trade, and in 1895—Mr </w:t>
      </w:r>
      <w:r>
        <w:rPr>
          <w:rFonts w:ascii="Times New Roman" w:eastAsia="Times New Roman" w:hAnsi="Times New Roman" w:cs="Times New Roman"/>
          <w:color w:val="000000"/>
          <w:spacing w:val="0"/>
          <w:w w:val="100"/>
          <w:position w:val="0"/>
          <w:shd w:val="clear" w:color="auto" w:fill="auto"/>
          <w:lang w:val="de-DE" w:eastAsia="de-DE" w:bidi="de-DE"/>
        </w:rPr>
        <w:t xml:space="preserve">Goschen </w:t>
      </w:r>
      <w:r>
        <w:rPr>
          <w:rFonts w:ascii="Times New Roman" w:eastAsia="Times New Roman" w:hAnsi="Times New Roman" w:cs="Times New Roman"/>
          <w:color w:val="000000"/>
          <w:spacing w:val="0"/>
          <w:w w:val="100"/>
          <w:position w:val="0"/>
          <w:shd w:val="clear" w:color="auto" w:fill="auto"/>
          <w:lang w:val="en-US" w:eastAsia="en-US" w:bidi="en-US"/>
        </w:rPr>
        <w:t>being transferred to the Admiralty—he again became chancellor of the exchequer. In 1899 he lowered the fixed charge for the National Debt from twenty-five to twenty-three millions—a reduction imperatively required, apart from other reasons, by the difficulties found in redeeming' Consols at their then inflated price. When compelled to find means for financing the war in South Africa, he insisted on combining the raising of loans with the imposition of fresh taxation; and besides raising the income-tax each year, up to 1s. 3d. in 1902, he introduced taxes on sugar and exported coal (1901), and in 1902 proposed the reimposition of the registration duty on com and flour which had been abolished in 1869 by Mr Lowe. The sale of his Netheravon estates in Wiltshire to the War Office in 1898 occasioned some acrid criticism concern</w:t>
        <w:softHyphen/>
        <w:t>ing the valuation, for which, however, Sir Michael himself was not responsible. On Lord Salisbury’s retirement in 1902 Sir Michael Hicks Beach also left the government. He accepted the chairmanship of the Royal Commission on Ritualistic Practices in the Church, and he did valuable work as an arbi</w:t>
        <w:softHyphen/>
        <w:t>trator; and though when the fiscal controversy arose he became a member of the Free-food League, his parliamentary loyalty to Mr Balfour did much to prevent the Unionist free-traders from precipitating a rupture. When Mr Balfour resigned in 1905 he was raised to the peerage as Viscount St Aldwyn.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AMAND-LES-EAUX, a town of northern France, in the department of Nord, at the junction of the Elnon with the Scarpc, 22 m. S.E. of Lille by rail. Pop. (1906), town, 10,195; commune, 14,454. The town has a communal college and a school of drawing, and carries on iron-founding and the manufacture of porcelain, hosiery, chains and nails, but is better known for its mineral waters and mud baths. There are five springs; the water (67° to 77° F.) contains sulphate of lime and sulphur, and deposits white gelatinous threads without smell or taste. The mud baths are of benefit to patients suffering from rheuma- tism, gout and certain affections of liver and skin. Though from the discovery of statues and coins in the mud it is evident that these must have been frequented during the Roman period, it was only at the close of the 17th century that they again became of more than local celebrity. Of the abbey there remain</w:t>
      </w:r>
    </w:p>
    <w:sectPr>
      <w:footnotePr>
        <w:pos w:val="pageBottom"/>
        <w:numFmt w:val="decimal"/>
        <w:numRestart w:val="continuous"/>
      </w:footnotePr>
      <w:pgSz w:w="12240" w:h="15840"/>
      <w:pgMar w:top="956" w:left="939" w:right="879" w:bottom="5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1">
    <w:name w:val="Heading #1_"/>
    <w:basedOn w:val="DefaultParagraphFont"/>
    <w:link w:val="Style10"/>
    <w:rPr>
      <w:b w:val="0"/>
      <w:bCs w:val="0"/>
      <w:i w:val="0"/>
      <w:iCs w:val="0"/>
      <w:smallCaps w:val="0"/>
      <w:strike w:val="0"/>
      <w:sz w:val="90"/>
      <w:szCs w:val="90"/>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 w:type="paragraph" w:customStyle="1" w:styleId="Style10">
    <w:name w:val="Heading #1"/>
    <w:basedOn w:val="Normal"/>
    <w:link w:val="CharStyle11"/>
    <w:pPr>
      <w:widowControl w:val="0"/>
      <w:shd w:val="clear" w:color="auto" w:fill="FFFFFF"/>
      <w:spacing w:line="190" w:lineRule="auto"/>
      <w:ind w:left="260"/>
      <w:outlineLvl w:val="0"/>
    </w:pPr>
    <w:rPr>
      <w:b w:val="0"/>
      <w:bCs w:val="0"/>
      <w:i w:val="0"/>
      <w:iCs w:val="0"/>
      <w:smallCaps w:val="0"/>
      <w:strike w:val="0"/>
      <w:sz w:val="90"/>
      <w:szCs w:val="9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