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September 1801. He received private instruction in the classics, and also acquired proficiency in French, Italian, Spanish, Arabic and Persian. He obtained a connexion with a Plymouth newspaper, and when, in 1824, James Silk Buckingham started the </w:t>
      </w:r>
      <w:r>
        <w:rPr>
          <w:rFonts w:ascii="Times New Roman" w:eastAsia="Times New Roman" w:hAnsi="Times New Roman" w:cs="Times New Roman"/>
          <w:i/>
          <w:iCs/>
          <w:color w:val="000000"/>
          <w:spacing w:val="0"/>
          <w:w w:val="100"/>
          <w:position w:val="0"/>
          <w:shd w:val="clear" w:color="auto" w:fill="auto"/>
          <w:lang w:val="en-US" w:eastAsia="en-US" w:bidi="en-US"/>
        </w:rPr>
        <w:t>Oriental Herald,</w:t>
      </w:r>
      <w:r>
        <w:rPr>
          <w:rFonts w:ascii="Times New Roman" w:eastAsia="Times New Roman" w:hAnsi="Times New Roman" w:cs="Times New Roman"/>
          <w:color w:val="000000"/>
          <w:spacing w:val="0"/>
          <w:w w:val="100"/>
          <w:position w:val="0"/>
          <w:shd w:val="clear" w:color="auto" w:fill="auto"/>
          <w:lang w:val="en-US" w:eastAsia="en-US" w:bidi="en-US"/>
        </w:rPr>
        <w:t xml:space="preserve"> St John became assistant editor. In 1827, together with D. L. Richardson, he founded the </w:t>
      </w:r>
      <w:r>
        <w:rPr>
          <w:rFonts w:ascii="Times New Roman" w:eastAsia="Times New Roman" w:hAnsi="Times New Roman" w:cs="Times New Roman"/>
          <w:i/>
          <w:iCs/>
          <w:color w:val="000000"/>
          <w:spacing w:val="0"/>
          <w:w w:val="100"/>
          <w:position w:val="0"/>
          <w:shd w:val="clear" w:color="auto" w:fill="auto"/>
          <w:lang w:val="en-US" w:eastAsia="en-US" w:bidi="en-US"/>
        </w:rPr>
        <w:t>London Weekly Review,</w:t>
      </w:r>
      <w:r>
        <w:rPr>
          <w:rFonts w:ascii="Times New Roman" w:eastAsia="Times New Roman" w:hAnsi="Times New Roman" w:cs="Times New Roman"/>
          <w:color w:val="000000"/>
          <w:spacing w:val="0"/>
          <w:w w:val="100"/>
          <w:position w:val="0"/>
          <w:shd w:val="clear" w:color="auto" w:fill="auto"/>
          <w:lang w:val="en-US" w:eastAsia="en-US" w:bidi="en-US"/>
        </w:rPr>
        <w:t xml:space="preserve"> subsequently purchased by Colburn and transformed into the </w:t>
      </w:r>
      <w:r>
        <w:rPr>
          <w:rFonts w:ascii="Times New Roman" w:eastAsia="Times New Roman" w:hAnsi="Times New Roman" w:cs="Times New Roman"/>
          <w:i/>
          <w:iCs/>
          <w:color w:val="000000"/>
          <w:spacing w:val="0"/>
          <w:w w:val="100"/>
          <w:position w:val="0"/>
          <w:shd w:val="clear" w:color="auto" w:fill="auto"/>
          <w:lang w:val="en-US" w:eastAsia="en-US" w:bidi="en-US"/>
        </w:rPr>
        <w:t>Court Journal.</w:t>
      </w:r>
      <w:r>
        <w:rPr>
          <w:rFonts w:ascii="Times New Roman" w:eastAsia="Times New Roman" w:hAnsi="Times New Roman" w:cs="Times New Roman"/>
          <w:color w:val="000000"/>
          <w:spacing w:val="0"/>
          <w:w w:val="100"/>
          <w:position w:val="0"/>
          <w:shd w:val="clear" w:color="auto" w:fill="auto"/>
          <w:lang w:val="en-US" w:eastAsia="en-US" w:bidi="en-US"/>
        </w:rPr>
        <w:t xml:space="preserve"> He lived for some years on the Continent and went in 1832 to Egypt and Nubia, travelling mostly on foot. The results of his journey were published under the titles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Egypt and Mohammed Ali, or Travels in the Valley of the Nile </w:t>
      </w:r>
      <w:r>
        <w:rPr>
          <w:rFonts w:ascii="Times New Roman" w:eastAsia="Times New Roman" w:hAnsi="Times New Roman" w:cs="Times New Roman"/>
          <w:color w:val="000000"/>
          <w:spacing w:val="0"/>
          <w:w w:val="100"/>
          <w:position w:val="0"/>
          <w:shd w:val="clear" w:color="auto" w:fill="auto"/>
          <w:lang w:val="en-US" w:eastAsia="en-US" w:bidi="en-US"/>
        </w:rPr>
        <w:t xml:space="preserve">(2 vols., 1834), </w:t>
      </w:r>
      <w:r>
        <w:rPr>
          <w:rFonts w:ascii="Times New Roman" w:eastAsia="Times New Roman" w:hAnsi="Times New Roman" w:cs="Times New Roman"/>
          <w:i/>
          <w:iCs/>
          <w:color w:val="000000"/>
          <w:spacing w:val="0"/>
          <w:w w:val="100"/>
          <w:position w:val="0"/>
          <w:shd w:val="clear" w:color="auto" w:fill="auto"/>
          <w:lang w:val="en-US" w:eastAsia="en-US" w:bidi="en-US"/>
        </w:rPr>
        <w:t>Egypt and Nubia</w:t>
      </w:r>
      <w:r>
        <w:rPr>
          <w:rFonts w:ascii="Times New Roman" w:eastAsia="Times New Roman" w:hAnsi="Times New Roman" w:cs="Times New Roman"/>
          <w:color w:val="000000"/>
          <w:spacing w:val="0"/>
          <w:w w:val="100"/>
          <w:position w:val="0"/>
          <w:shd w:val="clear" w:color="auto" w:fill="auto"/>
          <w:lang w:val="en-US" w:eastAsia="en-US" w:bidi="en-US"/>
        </w:rPr>
        <w:t xml:space="preserve"> (1844), and </w:t>
      </w:r>
      <w:r>
        <w:rPr>
          <w:rFonts w:ascii="Times New Roman" w:eastAsia="Times New Roman" w:hAnsi="Times New Roman" w:cs="Times New Roman"/>
          <w:i/>
          <w:iCs/>
          <w:color w:val="000000"/>
          <w:spacing w:val="0"/>
          <w:w w:val="100"/>
          <w:position w:val="0"/>
          <w:shd w:val="clear" w:color="auto" w:fill="auto"/>
          <w:lang w:val="en-US" w:eastAsia="en-US" w:bidi="en-US"/>
        </w:rPr>
        <w:t>Isis, an Egyptian Pilgrimage</w:t>
      </w:r>
      <w:r>
        <w:rPr>
          <w:rFonts w:ascii="Times New Roman" w:eastAsia="Times New Roman" w:hAnsi="Times New Roman" w:cs="Times New Roman"/>
          <w:color w:val="000000"/>
          <w:spacing w:val="0"/>
          <w:w w:val="100"/>
          <w:position w:val="0"/>
          <w:shd w:val="clear" w:color="auto" w:fill="auto"/>
          <w:lang w:val="en-US" w:eastAsia="en-US" w:bidi="en-US"/>
        </w:rPr>
        <w:t xml:space="preserve"> (2 vols., 1853). On his return he settled in London, and for many years wrote political “ leaders ” for the </w:t>
      </w:r>
      <w:r>
        <w:rPr>
          <w:rFonts w:ascii="Times New Roman" w:eastAsia="Times New Roman" w:hAnsi="Times New Roman" w:cs="Times New Roman"/>
          <w:i/>
          <w:iCs/>
          <w:color w:val="000000"/>
          <w:spacing w:val="0"/>
          <w:w w:val="100"/>
          <w:position w:val="0"/>
          <w:shd w:val="clear" w:color="auto" w:fill="auto"/>
          <w:lang w:val="en-US" w:eastAsia="en-US" w:bidi="en-US"/>
        </w:rPr>
        <w:t>Daily Telegraph.</w:t>
      </w:r>
      <w:r>
        <w:rPr>
          <w:rFonts w:ascii="Times New Roman" w:eastAsia="Times New Roman" w:hAnsi="Times New Roman" w:cs="Times New Roman"/>
          <w:color w:val="000000"/>
          <w:spacing w:val="0"/>
          <w:w w:val="100"/>
          <w:position w:val="0"/>
          <w:shd w:val="clear" w:color="auto" w:fill="auto"/>
          <w:lang w:val="en-US" w:eastAsia="en-US" w:bidi="en-US"/>
        </w:rPr>
        <w:t xml:space="preserve"> In 1868 he published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Sir Walter Raleigh, </w:t>
      </w:r>
      <w:r>
        <w:rPr>
          <w:rFonts w:ascii="Times New Roman" w:eastAsia="Times New Roman" w:hAnsi="Times New Roman" w:cs="Times New Roman"/>
          <w:color w:val="000000"/>
          <w:spacing w:val="0"/>
          <w:w w:val="100"/>
          <w:position w:val="0"/>
          <w:shd w:val="clear" w:color="auto" w:fill="auto"/>
          <w:lang w:val="en-US" w:eastAsia="en-US" w:bidi="en-US"/>
        </w:rPr>
        <w:t>based on researches in the archives at Madrid and elsewhere. He died in London on the 22nd of September 1875.</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works mentioned St John was also the author of </w:t>
      </w:r>
      <w:r>
        <w:rPr>
          <w:rFonts w:ascii="Times New Roman" w:eastAsia="Times New Roman" w:hAnsi="Times New Roman" w:cs="Times New Roman"/>
          <w:i/>
          <w:iCs/>
          <w:color w:val="000000"/>
          <w:spacing w:val="0"/>
          <w:w w:val="100"/>
          <w:position w:val="0"/>
          <w:shd w:val="clear" w:color="auto" w:fill="auto"/>
          <w:lang w:val="en-US" w:eastAsia="en-US" w:bidi="en-US"/>
        </w:rPr>
        <w:t>Journal of a Residence in Normandy</w:t>
      </w:r>
      <w:r>
        <w:rPr>
          <w:rFonts w:ascii="Times New Roman" w:eastAsia="Times New Roman" w:hAnsi="Times New Roman" w:cs="Times New Roman"/>
          <w:color w:val="000000"/>
          <w:spacing w:val="0"/>
          <w:w w:val="100"/>
          <w:position w:val="0"/>
          <w:shd w:val="clear" w:color="auto" w:fill="auto"/>
          <w:lang w:val="en-US" w:eastAsia="en-US" w:bidi="en-US"/>
        </w:rPr>
        <w:t xml:space="preserve"> (1830); </w:t>
      </w:r>
      <w:r>
        <w:rPr>
          <w:rFonts w:ascii="Times New Roman" w:eastAsia="Times New Roman" w:hAnsi="Times New Roman" w:cs="Times New Roman"/>
          <w:i/>
          <w:iCs/>
          <w:color w:val="000000"/>
          <w:spacing w:val="0"/>
          <w:w w:val="100"/>
          <w:position w:val="0"/>
          <w:shd w:val="clear" w:color="auto" w:fill="auto"/>
          <w:lang w:val="en-US" w:eastAsia="en-US" w:bidi="en-US"/>
        </w:rPr>
        <w:t>Lives of Celebrated Travellers</w:t>
      </w:r>
      <w:r>
        <w:rPr>
          <w:rFonts w:ascii="Times New Roman" w:eastAsia="Times New Roman" w:hAnsi="Times New Roman" w:cs="Times New Roman"/>
          <w:color w:val="000000"/>
          <w:spacing w:val="0"/>
          <w:w w:val="100"/>
          <w:position w:val="0"/>
          <w:shd w:val="clear" w:color="auto" w:fill="auto"/>
          <w:lang w:val="en-US" w:eastAsia="en-US" w:bidi="en-US"/>
        </w:rPr>
        <w:t xml:space="preserve"> (1830); </w:t>
      </w:r>
      <w:r>
        <w:rPr>
          <w:rFonts w:ascii="Times New Roman" w:eastAsia="Times New Roman" w:hAnsi="Times New Roman" w:cs="Times New Roman"/>
          <w:i/>
          <w:iCs/>
          <w:color w:val="000000"/>
          <w:spacing w:val="0"/>
          <w:w w:val="100"/>
          <w:position w:val="0"/>
          <w:shd w:val="clear" w:color="auto" w:fill="auto"/>
          <w:lang w:val="en-US" w:eastAsia="en-US" w:bidi="en-US"/>
        </w:rPr>
        <w:t>Anatomy of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(1831); </w:t>
      </w:r>
      <w:r>
        <w:rPr>
          <w:rFonts w:ascii="Times New Roman" w:eastAsia="Times New Roman" w:hAnsi="Times New Roman" w:cs="Times New Roman"/>
          <w:i/>
          <w:iCs/>
          <w:color w:val="000000"/>
          <w:spacing w:val="0"/>
          <w:w w:val="100"/>
          <w:position w:val="0"/>
          <w:shd w:val="clear" w:color="auto" w:fill="auto"/>
          <w:lang w:val="en-US" w:eastAsia="en-US" w:bidi="en-US"/>
        </w:rPr>
        <w:t>History, Manners and Customs of the Hindus</w:t>
      </w:r>
      <w:r>
        <w:rPr>
          <w:rFonts w:ascii="Times New Roman" w:eastAsia="Times New Roman" w:hAnsi="Times New Roman" w:cs="Times New Roman"/>
          <w:color w:val="000000"/>
          <w:spacing w:val="0"/>
          <w:w w:val="100"/>
          <w:position w:val="0"/>
          <w:shd w:val="clear" w:color="auto" w:fill="auto"/>
          <w:lang w:val="en-US" w:eastAsia="en-US" w:bidi="en-US"/>
        </w:rPr>
        <w:t xml:space="preserve"> (1831);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Margaret Ravenscroft, or Second Loυe </w:t>
      </w:r>
      <w:r>
        <w:rPr>
          <w:rFonts w:ascii="Times New Roman" w:eastAsia="Times New Roman" w:hAnsi="Times New Roman" w:cs="Times New Roman"/>
          <w:color w:val="000000"/>
          <w:spacing w:val="0"/>
          <w:w w:val="100"/>
          <w:position w:val="0"/>
          <w:shd w:val="clear" w:color="auto" w:fill="auto"/>
          <w:lang w:val="en-US" w:eastAsia="en-US" w:bidi="en-US"/>
        </w:rPr>
        <w:t xml:space="preserve">(3 vols., 1835); </w:t>
      </w:r>
      <w:r>
        <w:rPr>
          <w:rFonts w:ascii="Times New Roman" w:eastAsia="Times New Roman" w:hAnsi="Times New Roman" w:cs="Times New Roman"/>
          <w:i/>
          <w:iCs/>
          <w:color w:val="000000"/>
          <w:spacing w:val="0"/>
          <w:w w:val="100"/>
          <w:position w:val="0"/>
          <w:shd w:val="clear" w:color="auto" w:fill="auto"/>
          <w:lang w:val="en-US" w:eastAsia="en-US" w:bidi="en-US"/>
        </w:rPr>
        <w:t>The Hellenes, or Manners and Customs of Ancient Greece</w:t>
      </w:r>
      <w:r>
        <w:rPr>
          <w:rFonts w:ascii="Times New Roman" w:eastAsia="Times New Roman" w:hAnsi="Times New Roman" w:cs="Times New Roman"/>
          <w:color w:val="000000"/>
          <w:spacing w:val="0"/>
          <w:w w:val="100"/>
          <w:position w:val="0"/>
          <w:shd w:val="clear" w:color="auto" w:fill="auto"/>
          <w:lang w:val="en-US" w:eastAsia="en-US" w:bidi="en-US"/>
        </w:rPr>
        <w:t xml:space="preserve"> (1842); </w:t>
      </w:r>
      <w:r>
        <w:rPr>
          <w:rFonts w:ascii="Times New Roman" w:eastAsia="Times New Roman" w:hAnsi="Times New Roman" w:cs="Times New Roman"/>
          <w:i/>
          <w:iCs/>
          <w:color w:val="000000"/>
          <w:spacing w:val="0"/>
          <w:w w:val="100"/>
          <w:position w:val="0"/>
          <w:shd w:val="clear" w:color="auto" w:fill="auto"/>
          <w:lang w:val="en-US" w:eastAsia="en-US" w:bidi="en-US"/>
        </w:rPr>
        <w:t>Sir Cosmo Digby,</w:t>
      </w:r>
      <w:r>
        <w:rPr>
          <w:rFonts w:ascii="Times New Roman" w:eastAsia="Times New Roman" w:hAnsi="Times New Roman" w:cs="Times New Roman"/>
          <w:color w:val="000000"/>
          <w:spacing w:val="0"/>
          <w:w w:val="100"/>
          <w:position w:val="0"/>
          <w:shd w:val="clear" w:color="auto" w:fill="auto"/>
          <w:lang w:val="en-US" w:eastAsia="en-US" w:bidi="en-US"/>
        </w:rPr>
        <w:t xml:space="preserve"> a novel (1844); </w:t>
      </w:r>
      <w:r>
        <w:rPr>
          <w:rFonts w:ascii="Times New Roman" w:eastAsia="Times New Roman" w:hAnsi="Times New Roman" w:cs="Times New Roman"/>
          <w:i/>
          <w:iCs/>
          <w:color w:val="000000"/>
          <w:spacing w:val="0"/>
          <w:w w:val="100"/>
          <w:position w:val="0"/>
          <w:shd w:val="clear" w:color="auto" w:fill="auto"/>
          <w:lang w:val="en-US" w:eastAsia="en-US" w:bidi="en-US"/>
        </w:rPr>
        <w:t>There and Back Again in Search of Beauty</w:t>
      </w:r>
      <w:r>
        <w:rPr>
          <w:rFonts w:ascii="Times New Roman" w:eastAsia="Times New Roman" w:hAnsi="Times New Roman" w:cs="Times New Roman"/>
          <w:color w:val="000000"/>
          <w:spacing w:val="0"/>
          <w:w w:val="100"/>
          <w:position w:val="0"/>
          <w:shd w:val="clear" w:color="auto" w:fill="auto"/>
          <w:lang w:val="en-US" w:eastAsia="en-US" w:bidi="en-US"/>
        </w:rPr>
        <w:t xml:space="preserve"> (1853); </w:t>
      </w:r>
      <w:r>
        <w:rPr>
          <w:rFonts w:ascii="Times New Roman" w:eastAsia="Times New Roman" w:hAnsi="Times New Roman" w:cs="Times New Roman"/>
          <w:i/>
          <w:iCs/>
          <w:color w:val="000000"/>
          <w:spacing w:val="0"/>
          <w:w w:val="100"/>
          <w:position w:val="0"/>
          <w:shd w:val="clear" w:color="auto" w:fill="auto"/>
          <w:lang w:val="en-US" w:eastAsia="en-US" w:bidi="en-US"/>
        </w:rPr>
        <w:t>The Nemesis of Power</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Philosophy at the Foot of the Cross</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Preaching of Christ </w:t>
      </w:r>
      <w:r>
        <w:rPr>
          <w:rFonts w:ascii="Times New Roman" w:eastAsia="Times New Roman" w:hAnsi="Times New Roman" w:cs="Times New Roman"/>
          <w:color w:val="000000"/>
          <w:spacing w:val="0"/>
          <w:w w:val="100"/>
          <w:position w:val="0"/>
          <w:shd w:val="clear" w:color="auto" w:fill="auto"/>
          <w:lang w:val="en-US" w:eastAsia="en-US" w:bidi="en-US"/>
        </w:rPr>
        <w:t xml:space="preserve">(1855) ; </w:t>
      </w:r>
      <w:r>
        <w:rPr>
          <w:rFonts w:ascii="Times New Roman" w:eastAsia="Times New Roman" w:hAnsi="Times New Roman" w:cs="Times New Roman"/>
          <w:i/>
          <w:iCs/>
          <w:color w:val="000000"/>
          <w:spacing w:val="0"/>
          <w:w w:val="100"/>
          <w:position w:val="0"/>
          <w:shd w:val="clear" w:color="auto" w:fill="auto"/>
          <w:lang w:val="en-US" w:eastAsia="en-US" w:bidi="en-US"/>
        </w:rPr>
        <w:t>The Ring and the Veil,</w:t>
      </w:r>
      <w:r>
        <w:rPr>
          <w:rFonts w:ascii="Times New Roman" w:eastAsia="Times New Roman" w:hAnsi="Times New Roman" w:cs="Times New Roman"/>
          <w:color w:val="000000"/>
          <w:spacing w:val="0"/>
          <w:w w:val="100"/>
          <w:position w:val="0"/>
          <w:shd w:val="clear" w:color="auto" w:fill="auto"/>
          <w:lang w:val="en-US" w:eastAsia="en-US" w:bidi="en-US"/>
        </w:rPr>
        <w:t xml:space="preserve"> a novel (1856) ;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Life of Louis Napoleon </w:t>
      </w:r>
      <w:r>
        <w:rPr>
          <w:rFonts w:ascii="Times New Roman" w:eastAsia="Times New Roman" w:hAnsi="Times New Roman" w:cs="Times New Roman"/>
          <w:color w:val="000000"/>
          <w:spacing w:val="0"/>
          <w:w w:val="100"/>
          <w:position w:val="0"/>
          <w:shd w:val="clear" w:color="auto" w:fill="auto"/>
          <w:lang w:val="en-US" w:eastAsia="en-US" w:bidi="en-US"/>
        </w:rPr>
        <w:t xml:space="preserve">(1857); </w:t>
      </w:r>
      <w:r>
        <w:rPr>
          <w:rFonts w:ascii="Times New Roman" w:eastAsia="Times New Roman" w:hAnsi="Times New Roman" w:cs="Times New Roman"/>
          <w:i/>
          <w:iCs/>
          <w:color w:val="000000"/>
          <w:spacing w:val="0"/>
          <w:w w:val="100"/>
          <w:position w:val="0"/>
          <w:shd w:val="clear" w:color="auto" w:fill="auto"/>
          <w:lang w:val="en-US" w:eastAsia="en-US" w:bidi="en-US"/>
        </w:rPr>
        <w:t>History of the Four Conquests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(1862); and </w:t>
      </w:r>
      <w:r>
        <w:rPr>
          <w:rFonts w:ascii="Times New Roman" w:eastAsia="Times New Roman" w:hAnsi="Times New Roman" w:cs="Times New Roman"/>
          <w:i/>
          <w:iCs/>
          <w:color w:val="000000"/>
          <w:spacing w:val="0"/>
          <w:w w:val="100"/>
          <w:position w:val="0"/>
          <w:shd w:val="clear" w:color="auto" w:fill="auto"/>
          <w:lang w:val="en-US" w:eastAsia="en-US" w:bidi="en-US"/>
        </w:rPr>
        <w:t>Weighed in the Balance,</w:t>
      </w:r>
      <w:r>
        <w:rPr>
          <w:rFonts w:ascii="Times New Roman" w:eastAsia="Times New Roman" w:hAnsi="Times New Roman" w:cs="Times New Roman"/>
          <w:color w:val="000000"/>
          <w:spacing w:val="0"/>
          <w:w w:val="100"/>
          <w:position w:val="0"/>
          <w:shd w:val="clear" w:color="auto" w:fill="auto"/>
          <w:lang w:val="en-US" w:eastAsia="en-US" w:bidi="en-US"/>
        </w:rPr>
        <w:t xml:space="preserve"> a novel (1864). He also edited, with notes, various English classics.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his four sons, all journalists and authors of some literary distinction—Percy Bolingbroke (1821-1889), </w:t>
      </w:r>
      <w:r>
        <w:rPr>
          <w:rFonts w:ascii="Times New Roman" w:eastAsia="Times New Roman" w:hAnsi="Times New Roman" w:cs="Times New Roman"/>
          <w:color w:val="000000"/>
          <w:spacing w:val="0"/>
          <w:w w:val="100"/>
          <w:position w:val="0"/>
          <w:shd w:val="clear" w:color="auto" w:fill="auto"/>
          <w:lang w:val="fr-FR" w:eastAsia="fr-FR" w:bidi="fr-FR"/>
        </w:rPr>
        <w:t xml:space="preserve">Bayle, </w:t>
      </w:r>
      <w:r>
        <w:rPr>
          <w:rFonts w:ascii="Times New Roman" w:eastAsia="Times New Roman" w:hAnsi="Times New Roman" w:cs="Times New Roman"/>
          <w:color w:val="000000"/>
          <w:spacing w:val="0"/>
          <w:w w:val="100"/>
          <w:position w:val="0"/>
          <w:shd w:val="clear" w:color="auto" w:fill="auto"/>
          <w:lang w:val="en-US" w:eastAsia="en-US" w:bidi="en-US"/>
        </w:rPr>
        <w:t xml:space="preserve">Spenser and Horace Roscoe (1832-1888)—the </w:t>
      </w:r>
      <w:r>
        <w:rPr>
          <w:rFonts w:ascii="Times New Roman" w:eastAsia="Times New Roman" w:hAnsi="Times New Roman" w:cs="Times New Roman"/>
          <w:color w:val="000000"/>
          <w:spacing w:val="0"/>
          <w:w w:val="100"/>
          <w:position w:val="0"/>
          <w:shd w:val="clear" w:color="auto" w:fill="auto"/>
          <w:lang w:val="fr-FR" w:eastAsia="fr-FR" w:bidi="fr-FR"/>
        </w:rPr>
        <w:t xml:space="preserve">second,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Bayle </w:t>
      </w:r>
      <w:r>
        <w:rPr>
          <w:rFonts w:ascii="Times New Roman" w:eastAsia="Times New Roman" w:hAnsi="Times New Roman" w:cs="Times New Roman"/>
          <w:smallCaps/>
          <w:color w:val="000000"/>
          <w:spacing w:val="0"/>
          <w:w w:val="100"/>
          <w:position w:val="0"/>
          <w:shd w:val="clear" w:color="auto" w:fill="auto"/>
          <w:lang w:val="en-US" w:eastAsia="en-US" w:bidi="en-US"/>
        </w:rPr>
        <w:t>St John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(1822- </w:t>
      </w:r>
      <w:r>
        <w:rPr>
          <w:rFonts w:ascii="Times New Roman" w:eastAsia="Times New Roman" w:hAnsi="Times New Roman" w:cs="Times New Roman"/>
          <w:color w:val="000000"/>
          <w:spacing w:val="0"/>
          <w:w w:val="100"/>
          <w:position w:val="0"/>
          <w:shd w:val="clear" w:color="auto" w:fill="auto"/>
          <w:lang w:val="en-US" w:eastAsia="en-US" w:bidi="en-US"/>
        </w:rPr>
        <w:t xml:space="preserve">1869), began contributing to the periodicals when only thirteen. When twenty he wrote a series of papers for </w:t>
      </w:r>
      <w:r>
        <w:rPr>
          <w:rFonts w:ascii="Times New Roman" w:eastAsia="Times New Roman" w:hAnsi="Times New Roman" w:cs="Times New Roman"/>
          <w:i/>
          <w:iCs/>
          <w:color w:val="000000"/>
          <w:spacing w:val="0"/>
          <w:w w:val="100"/>
          <w:position w:val="0"/>
          <w:shd w:val="clear" w:color="auto" w:fill="auto"/>
          <w:lang w:val="en-US" w:eastAsia="en-US" w:bidi="en-US"/>
        </w:rPr>
        <w:t>Fraser</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title “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re vehiculari, or a Comic History of Chariots.” To the same magazine he contributed a series of essays on Montaigne, and published in 1857 </w:t>
      </w:r>
      <w:r>
        <w:rPr>
          <w:rFonts w:ascii="Times New Roman" w:eastAsia="Times New Roman" w:hAnsi="Times New Roman" w:cs="Times New Roman"/>
          <w:i/>
          <w:iCs/>
          <w:color w:val="000000"/>
          <w:spacing w:val="0"/>
          <w:w w:val="100"/>
          <w:position w:val="0"/>
          <w:shd w:val="clear" w:color="auto" w:fill="auto"/>
          <w:lang w:val="en-US" w:eastAsia="en-US" w:bidi="en-US"/>
        </w:rPr>
        <w:t>Montaigne the Essayist, a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in 4 volumes. During a residence of two years in Egypt he wrote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Libyan Desert </w:t>
      </w:r>
      <w:r>
        <w:rPr>
          <w:rFonts w:ascii="Times New Roman" w:eastAsia="Times New Roman" w:hAnsi="Times New Roman" w:cs="Times New Roman"/>
          <w:color w:val="000000"/>
          <w:spacing w:val="0"/>
          <w:w w:val="100"/>
          <w:position w:val="0"/>
          <w:shd w:val="clear" w:color="auto" w:fill="auto"/>
          <w:lang w:val="en-US" w:eastAsia="en-US" w:bidi="en-US"/>
        </w:rPr>
        <w:t xml:space="preserve">(1849). While in Egypt he learnt Arabic and visited the oasis of Siwa. On his return he settled for some time in Paris and published </w:t>
      </w:r>
      <w:r>
        <w:rPr>
          <w:rFonts w:ascii="Times New Roman" w:eastAsia="Times New Roman" w:hAnsi="Times New Roman" w:cs="Times New Roman"/>
          <w:i/>
          <w:iCs/>
          <w:color w:val="000000"/>
          <w:spacing w:val="0"/>
          <w:w w:val="100"/>
          <w:position w:val="0"/>
          <w:shd w:val="clear" w:color="auto" w:fill="auto"/>
          <w:lang w:val="en-US" w:eastAsia="en-US" w:bidi="en-US"/>
        </w:rPr>
        <w:t>Two Years in a Levantine Family</w:t>
      </w:r>
      <w:r>
        <w:rPr>
          <w:rFonts w:ascii="Times New Roman" w:eastAsia="Times New Roman" w:hAnsi="Times New Roman" w:cs="Times New Roman"/>
          <w:color w:val="000000"/>
          <w:spacing w:val="0"/>
          <w:w w:val="100"/>
          <w:position w:val="0"/>
          <w:shd w:val="clear" w:color="auto" w:fill="auto"/>
          <w:lang w:val="en-US" w:eastAsia="en-US" w:bidi="en-US"/>
        </w:rPr>
        <w:t xml:space="preserve"> (1850) and </w:t>
      </w:r>
      <w:r>
        <w:rPr>
          <w:rFonts w:ascii="Times New Roman" w:eastAsia="Times New Roman" w:hAnsi="Times New Roman" w:cs="Times New Roman"/>
          <w:i/>
          <w:iCs/>
          <w:color w:val="000000"/>
          <w:spacing w:val="0"/>
          <w:w w:val="100"/>
          <w:position w:val="0"/>
          <w:shd w:val="clear" w:color="auto" w:fill="auto"/>
          <w:lang w:val="en-US" w:eastAsia="en-US" w:bidi="en-US"/>
        </w:rPr>
        <w:t>Views in the Oasis of Siwah</w:t>
      </w:r>
      <w:r>
        <w:rPr>
          <w:rFonts w:ascii="Times New Roman" w:eastAsia="Times New Roman" w:hAnsi="Times New Roman" w:cs="Times New Roman"/>
          <w:color w:val="000000"/>
          <w:spacing w:val="0"/>
          <w:w w:val="100"/>
          <w:position w:val="0"/>
          <w:shd w:val="clear" w:color="auto" w:fill="auto"/>
          <w:lang w:val="en-US" w:eastAsia="en-US" w:bidi="en-US"/>
        </w:rPr>
        <w:t xml:space="preserve"> (1850). After a second visit to the East he published </w:t>
      </w:r>
      <w:r>
        <w:rPr>
          <w:rFonts w:ascii="Times New Roman" w:eastAsia="Times New Roman" w:hAnsi="Times New Roman" w:cs="Times New Roman"/>
          <w:i/>
          <w:iCs/>
          <w:color w:val="000000"/>
          <w:spacing w:val="0"/>
          <w:w w:val="100"/>
          <w:position w:val="0"/>
          <w:shd w:val="clear" w:color="auto" w:fill="auto"/>
          <w:lang w:val="en-US" w:eastAsia="en-US" w:bidi="en-US"/>
        </w:rPr>
        <w:t>Village Life in Egypt</w:t>
      </w:r>
      <w:r>
        <w:rPr>
          <w:rFonts w:ascii="Times New Roman" w:eastAsia="Times New Roman" w:hAnsi="Times New Roman" w:cs="Times New Roman"/>
          <w:color w:val="000000"/>
          <w:spacing w:val="0"/>
          <w:w w:val="100"/>
          <w:position w:val="0"/>
          <w:shd w:val="clear" w:color="auto" w:fill="auto"/>
          <w:lang w:val="en-US" w:eastAsia="en-US" w:bidi="en-US"/>
        </w:rPr>
        <w:t xml:space="preserve"> (1852); </w:t>
      </w:r>
      <w:r>
        <w:rPr>
          <w:rFonts w:ascii="Times New Roman" w:eastAsia="Times New Roman" w:hAnsi="Times New Roman" w:cs="Times New Roman"/>
          <w:i/>
          <w:iCs/>
          <w:color w:val="000000"/>
          <w:spacing w:val="0"/>
          <w:w w:val="100"/>
          <w:position w:val="0"/>
          <w:shd w:val="clear" w:color="auto" w:fill="auto"/>
          <w:lang w:val="en-US" w:eastAsia="en-US" w:bidi="en-US"/>
        </w:rPr>
        <w:t>Purple Tints of Paris: Characters and Manners in the New Empire</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Louvre, or Biography of a Museum </w:t>
      </w:r>
      <w:r>
        <w:rPr>
          <w:rFonts w:ascii="Times New Roman" w:eastAsia="Times New Roman" w:hAnsi="Times New Roman" w:cs="Times New Roman"/>
          <w:color w:val="000000"/>
          <w:spacing w:val="0"/>
          <w:w w:val="100"/>
          <w:position w:val="0"/>
          <w:shd w:val="clear" w:color="auto" w:fill="auto"/>
          <w:lang w:val="en-US" w:eastAsia="en-US" w:bidi="en-US"/>
        </w:rPr>
        <w:t xml:space="preserve">(1855);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Subalpine </w:t>
      </w:r>
      <w:r>
        <w:rPr>
          <w:rFonts w:ascii="Times New Roman" w:eastAsia="Times New Roman" w:hAnsi="Times New Roman" w:cs="Times New Roman"/>
          <w:i/>
          <w:iCs/>
          <w:color w:val="000000"/>
          <w:spacing w:val="0"/>
          <w:w w:val="100"/>
          <w:position w:val="0"/>
          <w:shd w:val="clear" w:color="auto" w:fill="auto"/>
          <w:lang w:val="en-US" w:eastAsia="en-US" w:bidi="en-US"/>
        </w:rPr>
        <w:t>Kingdom, or Experiences and Studies in Savoy</w:t>
      </w:r>
      <w:r>
        <w:rPr>
          <w:rFonts w:ascii="Times New Roman" w:eastAsia="Times New Roman" w:hAnsi="Times New Roman" w:cs="Times New Roman"/>
          <w:color w:val="000000"/>
          <w:spacing w:val="0"/>
          <w:w w:val="100"/>
          <w:position w:val="0"/>
          <w:shd w:val="clear" w:color="auto" w:fill="auto"/>
          <w:lang w:val="en-US" w:eastAsia="en-US" w:bidi="en-US"/>
        </w:rPr>
        <w:t xml:space="preserve"> (1856); </w:t>
      </w:r>
      <w:r>
        <w:rPr>
          <w:rFonts w:ascii="Times New Roman" w:eastAsia="Times New Roman" w:hAnsi="Times New Roman" w:cs="Times New Roman"/>
          <w:i/>
          <w:iCs/>
          <w:color w:val="000000"/>
          <w:spacing w:val="0"/>
          <w:w w:val="100"/>
          <w:position w:val="0"/>
          <w:shd w:val="clear" w:color="auto" w:fill="auto"/>
          <w:lang w:val="en-US" w:eastAsia="en-US" w:bidi="en-US"/>
        </w:rPr>
        <w:t>Travels of an Arab Merchant in the Soudan</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Maretimo, a Story of Adventure</w:t>
      </w:r>
      <w:r>
        <w:rPr>
          <w:rFonts w:ascii="Times New Roman" w:eastAsia="Times New Roman" w:hAnsi="Times New Roman" w:cs="Times New Roman"/>
          <w:color w:val="000000"/>
          <w:spacing w:val="0"/>
          <w:w w:val="100"/>
          <w:position w:val="0"/>
          <w:shd w:val="clear" w:color="auto" w:fill="auto"/>
          <w:lang w:val="en-US" w:eastAsia="en-US" w:bidi="en-US"/>
        </w:rPr>
        <w:t xml:space="preserve"> (1856); and </w:t>
      </w:r>
      <w:r>
        <w:rPr>
          <w:rFonts w:ascii="Times New Roman" w:eastAsia="Times New Roman" w:hAnsi="Times New Roman" w:cs="Times New Roman"/>
          <w:i/>
          <w:iCs/>
          <w:color w:val="000000"/>
          <w:spacing w:val="0"/>
          <w:w w:val="100"/>
          <w:position w:val="0"/>
          <w:shd w:val="clear" w:color="auto" w:fill="auto"/>
          <w:lang w:val="en-US" w:eastAsia="en-US" w:bidi="en-US"/>
        </w:rPr>
        <w:t>Memoirs of the Duke of Saint-Simon in the Reign of Louis XIV.</w:t>
      </w:r>
      <w:r>
        <w:rPr>
          <w:rFonts w:ascii="Times New Roman" w:eastAsia="Times New Roman" w:hAnsi="Times New Roman" w:cs="Times New Roman"/>
          <w:color w:val="000000"/>
          <w:spacing w:val="0"/>
          <w:w w:val="100"/>
          <w:position w:val="0"/>
          <w:shd w:val="clear" w:color="auto" w:fill="auto"/>
          <w:lang w:val="en-US" w:eastAsia="en-US" w:bidi="en-US"/>
        </w:rPr>
        <w:t xml:space="preserve"> (4 vols., 1857).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ST JOHN, OLIVER </w:t>
      </w:r>
      <w:r>
        <w:rPr>
          <w:rFonts w:ascii="Times New Roman" w:eastAsia="Times New Roman" w:hAnsi="Times New Roman" w:cs="Times New Roman"/>
          <w:color w:val="000000"/>
          <w:spacing w:val="0"/>
          <w:w w:val="100"/>
          <w:position w:val="0"/>
          <w:shd w:val="clear" w:color="auto" w:fill="auto"/>
          <w:lang w:val="en-US" w:eastAsia="en-US" w:bidi="en-US"/>
        </w:rPr>
        <w:t>(c. 1598-1673), English statesman and judge, was the son of Oliver St John. There were two branches of the ancient family to which he belonged, namely, the St Johns of Bletso in Bedfordshire, and the St Johns of Lydiard Trcgoze in Wiltshire, both descendants of the St Johns of Staunton St John in Oxfordshire. Oliver St John was a member of the senior branch, being great-grandson of Oliver St John, who was created Baron St John of Bletso@@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1559, and a distant cousin of the 4th baron who was created earl of Bolingbroke in 1624, and who took an active part on the parliamentary side of the Civil War, being killed at the battle of Edgehill. Oliver was educated at Queens’ College, Cambridge, and was called to the bar in 1626. He appears to have got into trouble with the court in connexion with a seditious publication, and to have associated himself with the future popular leaders John Pym and Lord Saye. In 1638 he defended Hampden on his refusal to pay Ship Money, on which occasion he made a notable speech. In the same year he married, as his second wife, Elizabeth Cromwell, a cousin of Oliver Cromwell, to whom his first wife also had been distantly related. The marriage led to an intimate friendship with Cromwell. St John was member for Totnes in both the Short and the Long Parliament, where he acted in close alliance with Hampden and Pym, especially in opposition to the impost of Ship Money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1641, with a view of securing his support, the king appointed St John solicitor-general. None the less 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took an active part in promoting the impeachment of Strafford and in preparing the bills brought forward by the popular party in the Commons, and was dismissed from office in 1643. On the outbreak of the Civil War, he became recognized as one of the parliamentary leaders. In the quarrel between the parliament and the army in 1647 he sided with the latter, and throughout this period he enjoyed Cromwell’s entire confidence.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1648 St John was appointed chief justice of the common pleas; and from this time he devoted himself mainly to his judicial duties. He refused to act as one of the commissioners for the trial of Charles. He had no hand in Pride’s Purge, nor in the constitution of the Commonwealth. In 1651 he went to the Hague as one of the envoys to negotiate a union between England and Holland, a mission in which he entirely failed; but in the same year he successfully conducted a similar negotiation with Scotland. After the Restoration he published an account of his past conduct (</w:t>
      </w:r>
      <w:r>
        <w:rPr>
          <w:rFonts w:ascii="Times New Roman" w:eastAsia="Times New Roman" w:hAnsi="Times New Roman" w:cs="Times New Roman"/>
          <w:i/>
          <w:iCs/>
          <w:color w:val="000000"/>
          <w:spacing w:val="0"/>
          <w:w w:val="100"/>
          <w:position w:val="0"/>
          <w:shd w:val="clear" w:color="auto" w:fill="auto"/>
          <w:lang w:val="en-US" w:eastAsia="en-US" w:bidi="en-US"/>
        </w:rPr>
        <w:t>The Case of Oliver St John,</w:t>
      </w:r>
      <w:r>
        <w:rPr>
          <w:rFonts w:ascii="Times New Roman" w:eastAsia="Times New Roman" w:hAnsi="Times New Roman" w:cs="Times New Roman"/>
          <w:color w:val="000000"/>
          <w:spacing w:val="0"/>
          <w:w w:val="100"/>
          <w:position w:val="0"/>
          <w:shd w:val="clear" w:color="auto" w:fill="auto"/>
          <w:lang w:val="en-US" w:eastAsia="en-US" w:bidi="en-US"/>
        </w:rPr>
        <w:t xml:space="preserve"> 1660), and this apologia enabled him to escape any more severe vengeance than exclusion from public office. He retired to his country house in Northamptonshire till 1662, when he went to live abroad. He died on the 31st of December 1673.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his first wife St John had two sons and two daughters. His daughter Johanna married Sir Walter St John of Lydiard Tregoze and was the grandmother of Viscount Bolingbroke. By his second wife he had two children, and after her death he married, in 1645, Elizabeth, daughter of Daniel Oxenbridge.</w:t>
      </w:r>
    </w:p>
    <w:p>
      <w:pPr>
        <w:pStyle w:val="Style7"/>
        <w:keepNext w:val="0"/>
        <w:keepLines w:val="0"/>
        <w:widowControl w:val="0"/>
        <w:shd w:val="clear" w:color="auto" w:fill="auto"/>
        <w:tabs>
          <w:tab w:pos="412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above-mentioned </w:t>
      </w:r>
      <w:r>
        <w:rPr>
          <w:rFonts w:ascii="Times New Roman" w:eastAsia="Times New Roman" w:hAnsi="Times New Roman" w:cs="Times New Roman"/>
          <w:i/>
          <w:iCs/>
          <w:color w:val="000000"/>
          <w:spacing w:val="0"/>
          <w:w w:val="100"/>
          <w:position w:val="0"/>
          <w:shd w:val="clear" w:color="auto" w:fill="auto"/>
          <w:lang w:val="en-US" w:eastAsia="en-US" w:bidi="en-US"/>
        </w:rPr>
        <w:t>Case of Oliver St John</w:t>
      </w:r>
      <w:r>
        <w:rPr>
          <w:rFonts w:ascii="Times New Roman" w:eastAsia="Times New Roman" w:hAnsi="Times New Roman" w:cs="Times New Roman"/>
          <w:color w:val="000000"/>
          <w:spacing w:val="0"/>
          <w:w w:val="100"/>
          <w:position w:val="0"/>
          <w:shd w:val="clear" w:color="auto" w:fill="auto"/>
          <w:lang w:val="en-US" w:eastAsia="en-US" w:bidi="en-US"/>
        </w:rPr>
        <w:t xml:space="preserve"> (London, 1660), and St John’s </w:t>
      </w:r>
      <w:r>
        <w:rPr>
          <w:rFonts w:ascii="Times New Roman" w:eastAsia="Times New Roman" w:hAnsi="Times New Roman" w:cs="Times New Roman"/>
          <w:i/>
          <w:iCs/>
          <w:color w:val="000000"/>
          <w:spacing w:val="0"/>
          <w:w w:val="100"/>
          <w:position w:val="0"/>
          <w:shd w:val="clear" w:color="auto" w:fill="auto"/>
          <w:lang w:val="en-US" w:eastAsia="en-US" w:bidi="en-US"/>
        </w:rPr>
        <w:t>Speech to the Lords, Jan. 7th, 1640, concerning Ship- money</w:t>
      </w:r>
      <w:r>
        <w:rPr>
          <w:rFonts w:ascii="Times New Roman" w:eastAsia="Times New Roman" w:hAnsi="Times New Roman" w:cs="Times New Roman"/>
          <w:color w:val="000000"/>
          <w:spacing w:val="0"/>
          <w:w w:val="100"/>
          <w:position w:val="0"/>
          <w:shd w:val="clear" w:color="auto" w:fill="auto"/>
          <w:lang w:val="en-US" w:eastAsia="en-US" w:bidi="en-US"/>
        </w:rPr>
        <w:t xml:space="preserve"> (London, 1640). See also Mark Noble,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the </w:t>
      </w:r>
      <w:r>
        <w:rPr>
          <w:rFonts w:ascii="Times New Roman" w:eastAsia="Times New Roman" w:hAnsi="Times New Roman" w:cs="Times New Roman"/>
          <w:i/>
          <w:iCs/>
          <w:color w:val="000000"/>
          <w:spacing w:val="0"/>
          <w:w w:val="100"/>
          <w:position w:val="0"/>
          <w:shd w:val="clear" w:color="auto" w:fill="auto"/>
          <w:lang w:val="fr-FR" w:eastAsia="fr-FR" w:bidi="fr-FR"/>
        </w:rPr>
        <w:t>Pro</w:t>
        <w:softHyphen/>
        <w:t xml:space="preserve">tectorat </w:t>
      </w:r>
      <w:r>
        <w:rPr>
          <w:rFonts w:ascii="Times New Roman" w:eastAsia="Times New Roman" w:hAnsi="Times New Roman" w:cs="Times New Roman"/>
          <w:i/>
          <w:iCs/>
          <w:color w:val="000000"/>
          <w:spacing w:val="0"/>
          <w:w w:val="100"/>
          <w:position w:val="0"/>
          <w:shd w:val="clear" w:color="auto" w:fill="auto"/>
          <w:lang w:val="en-US" w:eastAsia="en-US" w:bidi="en-US"/>
        </w:rPr>
        <w:t>House of Cromwell,</w:t>
      </w:r>
      <w:r>
        <w:rPr>
          <w:rFonts w:ascii="Times New Roman" w:eastAsia="Times New Roman" w:hAnsi="Times New Roman" w:cs="Times New Roman"/>
          <w:color w:val="000000"/>
          <w:spacing w:val="0"/>
          <w:w w:val="100"/>
          <w:position w:val="0"/>
          <w:shd w:val="clear" w:color="auto" w:fill="auto"/>
          <w:lang w:val="en-US" w:eastAsia="en-US" w:bidi="en-US"/>
        </w:rPr>
        <w:t xml:space="preserve"> vol. ii. (2 vols., London, 1787) ; Anthony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Wood, </w:t>
      </w:r>
      <w:r>
        <w:rPr>
          <w:rFonts w:ascii="Times New Roman" w:eastAsia="Times New Roman" w:hAnsi="Times New Roman" w:cs="Times New Roman"/>
          <w:i/>
          <w:iCs/>
          <w:color w:val="000000"/>
          <w:spacing w:val="0"/>
          <w:w w:val="100"/>
          <w:position w:val="0"/>
          <w:shd w:val="clear" w:color="auto" w:fill="auto"/>
          <w:lang w:val="en-US" w:eastAsia="en-US" w:bidi="en-US"/>
        </w:rPr>
        <w:t>Fasti Oxoniensis,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P. Bliss (4 vols., London, 1813); Edward Foss, </w:t>
      </w:r>
      <w:r>
        <w:rPr>
          <w:rFonts w:ascii="Times New Roman" w:eastAsia="Times New Roman" w:hAnsi="Times New Roman" w:cs="Times New Roman"/>
          <w:i/>
          <w:iCs/>
          <w:color w:val="000000"/>
          <w:spacing w:val="0"/>
          <w:w w:val="100"/>
          <w:position w:val="0"/>
          <w:shd w:val="clear" w:color="auto" w:fill="auto"/>
          <w:lang w:val="en-US" w:eastAsia="en-US" w:bidi="en-US"/>
        </w:rPr>
        <w:t>The Judges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vol.vi. (9 vols., London, 1848) ; S. R. Gardiner, </w:t>
      </w:r>
      <w:r>
        <w:rPr>
          <w:rFonts w:ascii="Times New Roman" w:eastAsia="Times New Roman" w:hAnsi="Times New Roman" w:cs="Times New Roman"/>
          <w:i/>
          <w:iCs/>
          <w:color w:val="000000"/>
          <w:spacing w:val="0"/>
          <w:w w:val="100"/>
          <w:position w:val="0"/>
          <w:shd w:val="clear" w:color="auto" w:fill="auto"/>
          <w:lang w:val="en-US" w:eastAsia="en-US" w:bidi="en-US"/>
        </w:rPr>
        <w:t>History of the Great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1886- 1891), and </w:t>
      </w:r>
      <w:r>
        <w:rPr>
          <w:rFonts w:ascii="Times New Roman" w:eastAsia="Times New Roman" w:hAnsi="Times New Roman" w:cs="Times New Roman"/>
          <w:i/>
          <w:iCs/>
          <w:color w:val="000000"/>
          <w:spacing w:val="0"/>
          <w:w w:val="100"/>
          <w:position w:val="0"/>
          <w:shd w:val="clear" w:color="auto" w:fill="auto"/>
          <w:lang w:val="en-US" w:eastAsia="en-US" w:bidi="en-US"/>
        </w:rPr>
        <w:t>History of the Commonwealth and Protectorate</w:t>
      </w:r>
      <w:r>
        <w:rPr>
          <w:rFonts w:ascii="Times New Roman" w:eastAsia="Times New Roman" w:hAnsi="Times New Roman" w:cs="Times New Roman"/>
          <w:color w:val="000000"/>
          <w:spacing w:val="0"/>
          <w:w w:val="100"/>
          <w:position w:val="0"/>
          <w:shd w:val="clear" w:color="auto" w:fill="auto"/>
          <w:lang w:val="en-US" w:eastAsia="en-US" w:bidi="en-US"/>
        </w:rPr>
        <w:t xml:space="preserve"> (3 vols., London, 1894-1901); Lord Clarendon, </w:t>
      </w:r>
      <w:r>
        <w:rPr>
          <w:rFonts w:ascii="Times New Roman" w:eastAsia="Times New Roman" w:hAnsi="Times New Roman" w:cs="Times New Roman"/>
          <w:i/>
          <w:iCs/>
          <w:color w:val="000000"/>
          <w:spacing w:val="0"/>
          <w:w w:val="100"/>
          <w:position w:val="0"/>
          <w:shd w:val="clear" w:color="auto" w:fill="auto"/>
          <w:lang w:val="en-US" w:eastAsia="en-US" w:bidi="en-US"/>
        </w:rPr>
        <w:t>History of the Rebellion and Civil Wars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(7 vols., Oxford, 1839);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Thurloe State Papers </w:t>
      </w:r>
      <w:r>
        <w:rPr>
          <w:rFonts w:ascii="Times New Roman" w:eastAsia="Times New Roman" w:hAnsi="Times New Roman" w:cs="Times New Roman"/>
          <w:color w:val="000000"/>
          <w:spacing w:val="0"/>
          <w:w w:val="100"/>
          <w:position w:val="0"/>
          <w:shd w:val="clear" w:color="auto" w:fill="auto"/>
          <w:lang w:val="en-US" w:eastAsia="en-US" w:bidi="en-US"/>
        </w:rPr>
        <w:t xml:space="preserve">(7 vols., London, 1742); Edmund Ludlow,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C. H. Firth (2 vols., Oxford, 1894); Thomas Carlyle, </w:t>
      </w:r>
      <w:r>
        <w:rPr>
          <w:rFonts w:ascii="Times New Roman" w:eastAsia="Times New Roman" w:hAnsi="Times New Roman" w:cs="Times New Roman"/>
          <w:i/>
          <w:iCs/>
          <w:color w:val="000000"/>
          <w:spacing w:val="0"/>
          <w:w w:val="100"/>
          <w:position w:val="0"/>
          <w:shd w:val="clear" w:color="auto" w:fill="auto"/>
          <w:lang w:val="en-US" w:eastAsia="en-US" w:bidi="en-US"/>
        </w:rPr>
        <w:t>Oliver Cromwell's Letters and Speeches',</w:t>
      </w:r>
      <w:r>
        <w:rPr>
          <w:rFonts w:ascii="Times New Roman" w:eastAsia="Times New Roman" w:hAnsi="Times New Roman" w:cs="Times New Roman"/>
          <w:color w:val="000000"/>
          <w:spacing w:val="0"/>
          <w:w w:val="100"/>
          <w:position w:val="0"/>
          <w:shd w:val="clear" w:color="auto" w:fill="auto"/>
          <w:lang w:val="en-US" w:eastAsia="en-US" w:bidi="en-US"/>
        </w:rPr>
        <w:t xml:space="preserve"> C. H. Firth’s art. in </w:t>
      </w:r>
      <w:r>
        <w:rPr>
          <w:rFonts w:ascii="Times New Roman" w:eastAsia="Times New Roman" w:hAnsi="Times New Roman" w:cs="Times New Roman"/>
          <w:i/>
          <w:iCs/>
          <w:color w:val="000000"/>
          <w:spacing w:val="0"/>
          <w:w w:val="100"/>
          <w:position w:val="0"/>
          <w:shd w:val="clear" w:color="auto" w:fill="auto"/>
          <w:lang w:val="en-US" w:eastAsia="en-US" w:bidi="en-US"/>
        </w:rPr>
        <w:t>Dict. of Nat. Biog.,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1. (London, 1897).</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the capital of St John county, New Brunswick, Canada, in 45° 14' N., and 66° 3' W., 481 m. from Montreal by the Canadian Pacific railway. Pop. (1901) 40,711. It is situated at the mouth of the St John river on a rocky peninsula. With it are incorporated the neighbouring towns of Carleton and (since 1889) Portland. The river, which is spanned by two bridges, enters the harbour through a rocky gorge, which is passable by ships for forty-five minutes during each ebb and flow of the tide. The harbour level at high tide (see </w:t>
      </w:r>
      <w:r>
        <w:rPr>
          <w:rFonts w:ascii="Times New Roman" w:eastAsia="Times New Roman" w:hAnsi="Times New Roman" w:cs="Times New Roman"/>
          <w:smallCaps/>
          <w:color w:val="000000"/>
          <w:spacing w:val="0"/>
          <w:w w:val="100"/>
          <w:position w:val="0"/>
          <w:shd w:val="clear" w:color="auto" w:fill="auto"/>
          <w:lang w:val="en-US" w:eastAsia="en-US" w:bidi="en-US"/>
        </w:rPr>
        <w:t>Fundy, Bay of)</w:t>
      </w:r>
      <w:r>
        <w:rPr>
          <w:rFonts w:ascii="Times New Roman" w:eastAsia="Times New Roman" w:hAnsi="Times New Roman" w:cs="Times New Roman"/>
          <w:color w:val="000000"/>
          <w:spacing w:val="0"/>
          <w:w w:val="100"/>
          <w:position w:val="0"/>
          <w:shd w:val="clear" w:color="auto" w:fill="auto"/>
          <w:lang w:val="en-US" w:eastAsia="en-US" w:bidi="en-US"/>
        </w:rPr>
        <w:t xml:space="preserve"> is 6 to 12 ft. higher than that of the river, but at low tide aboùt as much below it, hence the phenomenon of a fall outwards and inwards at every-tide. St John is an important station of the Intercolonial, Canadian Pacific, and New Brunswick Southern railways, and shares with Halifax the honour of being the chief winter port of the Dominion, the harbour being deep, sheltered and free from ice. It is the distributing centre for a large district, rich in agricultural produce and lumber, and has larger exports than Halifax, though less imports. It is also the centre of fisheries which employ nearly 1000 men, and has important industries, such as saw, grist, cotton and woollen mills, carriage, box and furniture factories, boiler and engine shops. The beauty of the scenery makes it a pleasant residential city.</w:t>
      </w:r>
    </w:p>
    <w:p>
      <w:pPr>
        <w:pStyle w:val="Style7"/>
        <w:keepNext w:val="0"/>
        <w:keepLines w:val="0"/>
        <w:widowControl w:val="0"/>
        <w:shd w:val="clear" w:color="auto" w:fill="auto"/>
        <w:tabs>
          <w:tab w:pos="409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was visited in 1604 by the </w:t>
      </w:r>
      <w:r>
        <w:rPr>
          <w:rFonts w:ascii="Times New Roman" w:eastAsia="Times New Roman" w:hAnsi="Times New Roman" w:cs="Times New Roman"/>
          <w:color w:val="000000"/>
          <w:spacing w:val="0"/>
          <w:w w:val="100"/>
          <w:position w:val="0"/>
          <w:shd w:val="clear" w:color="auto" w:fill="auto"/>
          <w:lang w:val="fr-FR" w:eastAsia="fr-FR" w:bidi="fr-FR"/>
        </w:rPr>
        <w:t xml:space="preserve">Sieur de </w:t>
      </w:r>
      <w:r>
        <w:rPr>
          <w:rFonts w:ascii="Times New Roman" w:eastAsia="Times New Roman" w:hAnsi="Times New Roman" w:cs="Times New Roman"/>
          <w:color w:val="000000"/>
          <w:spacing w:val="0"/>
          <w:w w:val="100"/>
          <w:position w:val="0"/>
          <w:shd w:val="clear" w:color="auto" w:fill="auto"/>
          <w:lang w:val="en-US" w:eastAsia="en-US" w:bidi="en-US"/>
        </w:rPr>
        <w:t xml:space="preserve">Monts (156o-c. 1630) and his lieutenant Champlain, but it was not until 1635 that Charles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Tour (d. 1666) established a trading post, called Fort St Jean (see Parkman,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Old </w:t>
      </w:r>
      <w:r>
        <w:rPr>
          <w:rFonts w:ascii="Times New Roman" w:eastAsia="Times New Roman" w:hAnsi="Times New Roman" w:cs="Times New Roman"/>
          <w:i/>
          <w:iCs/>
          <w:color w:val="000000"/>
          <w:spacing w:val="0"/>
          <w:w w:val="100"/>
          <w:position w:val="0"/>
          <w:shd w:val="clear" w:color="auto" w:fill="auto"/>
          <w:lang w:val="fr-FR" w:eastAsia="fr-FR" w:bidi="fr-FR"/>
        </w:rPr>
        <w:t xml:space="preserve">Régime </w:t>
      </w:r>
      <w:r>
        <w:rPr>
          <w:rFonts w:ascii="Times New Roman" w:eastAsia="Times New Roman" w:hAnsi="Times New Roman" w:cs="Times New Roman"/>
          <w:i/>
          <w:iCs/>
          <w:color w:val="000000"/>
          <w:spacing w:val="0"/>
          <w:w w:val="100"/>
          <w:position w:val="0"/>
          <w:shd w:val="clear" w:color="auto" w:fill="auto"/>
          <w:lang w:val="en-US" w:eastAsia="en-US" w:bidi="en-US"/>
        </w:rPr>
        <w:t>in Canada),</w:t>
      </w:r>
      <w:r>
        <w:rPr>
          <w:rFonts w:ascii="Times New Roman" w:eastAsia="Times New Roman" w:hAnsi="Times New Roman" w:cs="Times New Roman"/>
          <w:color w:val="000000"/>
          <w:spacing w:val="0"/>
          <w:w w:val="100"/>
          <w:position w:val="0"/>
          <w:shd w:val="clear" w:color="auto" w:fill="auto"/>
          <w:lang w:val="en-US" w:eastAsia="en-US" w:bidi="en-US"/>
        </w:rPr>
        <w:t xml:space="preserve"> which existed under French rule until 1758, when it passed into the hands of Britain. In 1783 a body, of United Empire Loyalists landed at St John and established a city, called Parr Town until 1785, when it was incorporated with Conway (Carleton), under royal charter, as the city of St John. It soon became and has remained the largest town in the province, but for military reasons was not chosen as the capital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Fredericton).</w:t>
      </w:r>
      <w:r>
        <w:rPr>
          <w:rFonts w:ascii="Times New Roman" w:eastAsia="Times New Roman" w:hAnsi="Times New Roman" w:cs="Times New Roman"/>
          <w:color w:val="000000"/>
          <w:spacing w:val="0"/>
          <w:w w:val="100"/>
          <w:position w:val="0"/>
          <w:shd w:val="clear" w:color="auto" w:fill="auto"/>
          <w:lang w:val="en-US" w:eastAsia="en-US" w:bidi="en-US"/>
        </w:rPr>
        <w:t xml:space="preserve"> Its growth has been checked by several destructive fires, especially that of June 1877, when half of it was swept away, but it has since been rebuilt in great part of more solid materials.</w:t>
        <w:tab/>
        <w:t>(W. L. G.)</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title is still held by the family lineally descended from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baron, said by J. H. Round to be the only peerage family descended in the male line from an ancestor living in the time of Domesday Book.</w:t>
      </w:r>
    </w:p>
    <w:p>
      <w:pPr>
        <w:widowControl w:val="0"/>
        <w:spacing w:line="1" w:lineRule="exact"/>
      </w:pPr>
    </w:p>
    <w:sectPr>
      <w:footnotePr>
        <w:pos w:val="pageBottom"/>
        <w:numFmt w:val="decimal"/>
        <w:numRestart w:val="continuous"/>
      </w:footnotePr>
      <w:type w:val="continuous"/>
      <w:pgSz w:w="12240" w:h="15840"/>
      <w:pgMar w:top="798" w:left="1146" w:right="702" w:bottom="7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