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 an island in the Danish West Indies. It lies 4 m. E. of St Thomas, is 10 m. long and 2½ m. wide; area 21 sq. m. It is a mass of rugged mountains, the highest of which is Camel Mountain (1270 ft.). Although one of the best watered and most fertile of the Virgin Group, it has little commerce. It is a free port, and possesses in Coral Bay the best harbour of refuge in the Antilles. The village of Cruxbay lies on the northern coast. Pop. (1901) 925.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a river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New Brunswick, Canada, rising in two branches, in the state of Maine, U.S.A., and in the province of Quebec. The American branch, known as the Walloostook, flows N.E. to the New Brunswick frontier, where it turns S.E. and for 80 m. forms the international boundary. A little above Grand Falls the St John enters Canada and flows through New Brunswick into the Bay of Fundy at St John. Its total length is about 450 m. It is navigable for large steamers as far as Fredericton (86 m.), and in spring and early summer for smaller vessels to Grand Falls (220 m.), where a series of falls and rapids form a descent of 70 or 80 ft. Above the falls it is navigable for 65 m. It drains an area of 26,000 sq. m., of which half is in New Brunswick, and receives numerous tributaries, of which the chief are the Aroostook, Allagash, Madawaska (draining Lake Temiscouata in Quebec), Tobique and Nashwaak.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OF JERUSALEM, KNIGHTS OF THE ORDER OF THE HOSPITAL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(Ordo fratrum hospitalariorum Hierosοlymitanorurn, Ordo militiae Sancti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Johannis </w:t>
      </w:r>
      <w:r>
        <w:rPr>
          <w:rFonts w:ascii="Times New Roman" w:eastAsia="Times New Roman" w:hAnsi="Times New Roman" w:cs="Times New Roman"/>
          <w:i/>
          <w:iCs/>
          <w:color w:val="000000"/>
          <w:spacing w:val="0"/>
          <w:w w:val="100"/>
          <w:position w:val="0"/>
          <w:shd w:val="clear" w:color="auto" w:fill="auto"/>
          <w:lang w:val="en-US" w:eastAsia="en-US" w:bidi="en-US"/>
        </w:rPr>
        <w:t>Baptistae hospitalis Hierosolymitani),</w:t>
      </w:r>
      <w:r>
        <w:rPr>
          <w:rFonts w:ascii="Times New Roman" w:eastAsia="Times New Roman" w:hAnsi="Times New Roman" w:cs="Times New Roman"/>
          <w:color w:val="000000"/>
          <w:spacing w:val="0"/>
          <w:w w:val="100"/>
          <w:position w:val="0"/>
          <w:shd w:val="clear" w:color="auto" w:fill="auto"/>
          <w:lang w:val="en-US" w:eastAsia="en-US" w:bidi="en-US"/>
        </w:rPr>
        <w:t xml:space="preserve"> known also later as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Knights of Rhodes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smallCaps/>
          <w:color w:val="000000"/>
          <w:spacing w:val="0"/>
          <w:w w:val="100"/>
          <w:position w:val="0"/>
          <w:shd w:val="clear" w:color="auto" w:fill="auto"/>
          <w:lang w:val="en-US" w:eastAsia="en-US" w:bidi="en-US"/>
        </w:rPr>
        <w:t>Sovereign Order of the Knights of Malta.</w:t>
      </w:r>
      <w:r>
        <w:rPr>
          <w:rFonts w:ascii="Times New Roman" w:eastAsia="Times New Roman" w:hAnsi="Times New Roman" w:cs="Times New Roman"/>
          <w:color w:val="000000"/>
          <w:spacing w:val="0"/>
          <w:w w:val="100"/>
          <w:position w:val="0"/>
          <w:shd w:val="clear" w:color="auto" w:fill="auto"/>
          <w:lang w:val="en-US" w:eastAsia="en-US" w:bidi="en-US"/>
        </w:rPr>
        <w:t xml:space="preserve"> The history of this order divides itself naturally into four periods: (1) From its foundation in Jerusalem during the First Crusade to its expulsion from the Holy Land after the fall of the Latin kingdom in 1291; (2) from 1309-1310, when the order was established in Rhodes, to its expulsion from the island in 1522; (3) from 1529 to 1798, during which its headquarters were in Malta; (4) its development, as reconstituted after its virtual destruction in 1798, to the present 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Early Developments.—</w:t>
      </w:r>
      <w:r>
        <w:rPr>
          <w:rFonts w:ascii="Times New Roman" w:eastAsia="Times New Roman" w:hAnsi="Times New Roman" w:cs="Times New Roman"/>
          <w:color w:val="000000"/>
          <w:spacing w:val="0"/>
          <w:w w:val="100"/>
          <w:position w:val="0"/>
          <w:shd w:val="clear" w:color="auto" w:fill="auto"/>
          <w:lang w:val="en-US" w:eastAsia="en-US" w:bidi="en-US"/>
        </w:rPr>
        <w:t xml:space="preserve">Medieval legend set back the beginnings to the days of the Maccabees, with King Antiochus as the founder and Zacharias, father of the Baptist, as one of the first masters; later historians of the order maintained that it was established as a military ordÊr contemporaneously with the Latin conquest of Jerusalem, and that it had no connexion with any earlier foundation (so P. A. Paoli, </w:t>
      </w:r>
      <w:r>
        <w:rPr>
          <w:rFonts w:ascii="Times New Roman" w:eastAsia="Times New Roman" w:hAnsi="Times New Roman" w:cs="Times New Roman"/>
          <w:i/>
          <w:iCs/>
          <w:color w:val="000000"/>
          <w:spacing w:val="0"/>
          <w:w w:val="100"/>
          <w:position w:val="0"/>
          <w:shd w:val="clear" w:color="auto" w:fill="auto"/>
          <w:lang w:val="fr-FR" w:eastAsia="fr-FR" w:bidi="fr-FR"/>
        </w:rPr>
        <w:t>De origine).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view would now seem to be disproved, and it is clear that the order was connected with an earlier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Hospitale </w:t>
      </w:r>
      <w:r>
        <w:rPr>
          <w:rFonts w:ascii="Times New Roman" w:eastAsia="Times New Roman" w:hAnsi="Times New Roman" w:cs="Times New Roman"/>
          <w:i/>
          <w:iCs/>
          <w:color w:val="000000"/>
          <w:spacing w:val="0"/>
          <w:w w:val="100"/>
          <w:position w:val="0"/>
          <w:shd w:val="clear" w:color="auto" w:fill="auto"/>
          <w:lang w:val="en-US" w:eastAsia="en-US" w:bidi="en-US"/>
        </w:rPr>
        <w:t>Hierosolymitanum.@@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Such a hospital had existed in the Holy City, with rare interrup</w:t>
        <w:softHyphen/>
        <w:t xml:space="preserve">tions, ever since it had become a centre of Christian pilgrimage. About 1023 certain merchantss of Amalfi had purchased the site of the Latin hospice established by Charlemagne, destroyed in 1010 with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Christian </w:t>
      </w:r>
      <w:r>
        <w:rPr>
          <w:rFonts w:ascii="Times New Roman" w:eastAsia="Times New Roman" w:hAnsi="Times New Roman" w:cs="Times New Roman"/>
          <w:color w:val="000000"/>
          <w:spacing w:val="0"/>
          <w:w w:val="100"/>
          <w:position w:val="0"/>
          <w:shd w:val="clear" w:color="auto" w:fill="auto"/>
          <w:lang w:val="en-US" w:eastAsia="en-US" w:bidi="en-US"/>
        </w:rPr>
        <w:t>establishments by order of the fanatical caliph Hakim Biamrillah,@@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had there founded a hospital for pilgrims, served by Benedictines and later dedicated to St John the Baptist.@@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When, in 1087, the crusaders surrounded the Holy City, the head of this hospital was a certain Gerard 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Gerald@@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who earned their gratitude by assisting them in some way during the siege.@@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capture of the city he used his popularity to enlarge and reconstitute the hospital. If, as 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surmises, he had previously been affiliated to the Benedictines, he now left them and adopted for his order the Augustinian rule. Donations and privileges were showered upon the new establishment. Godfrey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Bouillon led the way by granting to it in Jerusalem itself the </w:t>
      </w:r>
      <w:r>
        <w:rPr>
          <w:rFonts w:ascii="Times New Roman" w:eastAsia="Times New Roman" w:hAnsi="Times New Roman" w:cs="Times New Roman"/>
          <w:i/>
          <w:iCs/>
          <w:color w:val="000000"/>
          <w:spacing w:val="0"/>
          <w:w w:val="100"/>
          <w:position w:val="0"/>
          <w:shd w:val="clear" w:color="auto" w:fill="auto"/>
          <w:lang w:val="en-US" w:eastAsia="en-US" w:bidi="en-US"/>
        </w:rPr>
        <w:t>casal Hessilia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Silsileh) and two bakehouses.@@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Kings, nobles and prelates followed suit, not in the Holy Land only, but in Provence, France, Spain, Portugal, England and Italy: in Portugal a whole province was in 1114 made over to Gerard and his brethren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34). In 1113 Pope Paschal II. took the order and its possessions under his immediate protection (bull of Feb. 15th to Gerard,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30), his act being confirmed in 1119 by Calixtus II. and subsequently by other popes. Gerard was indeed, as Pope Paschal called him, the “institutor” of the order, if not its founder. It retained, however, during his lifetime its purely eleemosynary character. The armed defence of pilgrims may have been part of its functions, but its organization as an aggres- sive military force was the outcome of special circumstances— the renewed activity of the Saracens—and was the work of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Puy, </w:t>
      </w:r>
      <w:r>
        <w:rPr>
          <w:rFonts w:ascii="Times New Roman" w:eastAsia="Times New Roman" w:hAnsi="Times New Roman" w:cs="Times New Roman"/>
          <w:color w:val="000000"/>
          <w:spacing w:val="0"/>
          <w:w w:val="100"/>
          <w:position w:val="0"/>
          <w:shd w:val="clear" w:color="auto" w:fill="auto"/>
          <w:lang w:val="en-US" w:eastAsia="en-US" w:bidi="en-US"/>
        </w:rPr>
        <w:t>who succeeded as grand masteron the death of Gerard (3rd of September 1120).@@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that Raymond can be proved to have given to his order anything of its later aristocratic constitution. There is no mention in his Rule@@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of the division into knights, chaplains and sergeants; indeed, there is no mention of any military duties whatever. It merely lays down certain rules of conduct and discipline for the brethren. They are to be bound by the threefold vow of chastity, poverty and obedience. They are to claim nothing for themselves save bread, water and raiment; and this latter is to be of poor quality, “ since our Lord’s poor, whose servants we say we are, go naked and sordid, and it is a disgrace for the servant to be proud when his master is humble.” . Finally, the brethren are to wear crosses on the breast of their capes and mantles, “ ut Deusperipsum vexillum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fidem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operationem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obedientiam nos custodiat."@@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Yet that Raymond laid down military regulations for the brethren is certain. Their underlying principle is revealed by a bull of Pope Alexander III. addressed (1178-1180) to the grand master Roger </w:t>
      </w:r>
      <w:r>
        <w:rPr>
          <w:rFonts w:ascii="Times New Roman" w:eastAsia="Times New Roman" w:hAnsi="Times New Roman" w:cs="Times New Roman"/>
          <w:color w:val="000000"/>
          <w:spacing w:val="0"/>
          <w:w w:val="100"/>
          <w:position w:val="0"/>
          <w:shd w:val="clear" w:color="auto" w:fill="auto"/>
          <w:lang w:val="fr-FR" w:eastAsia="fr-FR" w:bidi="fr-FR"/>
        </w:rPr>
        <w:t xml:space="preserve">des Moulins, </w:t>
      </w:r>
      <w:r>
        <w:rPr>
          <w:rFonts w:ascii="Times New Roman" w:eastAsia="Times New Roman" w:hAnsi="Times New Roman" w:cs="Times New Roman"/>
          <w:color w:val="000000"/>
          <w:spacing w:val="0"/>
          <w:w w:val="100"/>
          <w:position w:val="0"/>
          <w:shd w:val="clear" w:color="auto" w:fill="auto"/>
          <w:lang w:val="en-US" w:eastAsia="en-US" w:bidi="en-US"/>
        </w:rPr>
        <w:t>in which he bids him, “ according to the custom of Raymond,” abstain from bearing arms save when the standard of the Cross is displayed either for the defence of the kingdom or in an attack on a “ pagan ” city.@@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statesmanlike qualities of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Puy </w:t>
      </w:r>
      <w:r>
        <w:rPr>
          <w:rFonts w:ascii="Times New Roman" w:eastAsia="Times New Roman" w:hAnsi="Times New Roman" w:cs="Times New Roman"/>
          <w:color w:val="000000"/>
          <w:spacing w:val="0"/>
          <w:w w:val="100"/>
          <w:position w:val="0"/>
          <w:shd w:val="clear" w:color="auto" w:fill="auto"/>
          <w:lang w:val="en-US" w:eastAsia="en-US" w:bidi="en-US"/>
        </w:rPr>
        <w:t>rendered his long mastership epoch-making for the order. When it was decided to fortify Ibelin (Beit-Jibrin) as an outpost against attacks from the side of Ascalon, it was to the Hospitallers that the building and defence of the new castle were assigned; and from 1137 onwards they took a regular part in the wars of the Cross. It was owing to Raymond’s diplomatic skill, too, that the order was enabled to profit by the bequest made to it by Alphonso I. of Aragon, who had died childless, of a third of his kingdom. To have claimed the literal fulfilment of this bequest would have been to risk losing it all, and Raymond acted wisely in transferring the bequest, with certain important reservations, to Raymond Berenger IV., count of Barcelona and regent of</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Cf. the bull of Pope Celestine II. to Raymond </w:t>
      </w:r>
      <w:r>
        <w:rPr>
          <w:rFonts w:ascii="Times New Roman" w:eastAsia="Times New Roman" w:hAnsi="Times New Roman" w:cs="Times New Roman"/>
          <w:color w:val="000000"/>
          <w:spacing w:val="0"/>
          <w:w w:val="100"/>
          <w:position w:val="0"/>
          <w:shd w:val="clear" w:color="auto" w:fill="auto"/>
          <w:lang w:val="de-DE" w:eastAsia="de-DE" w:bidi="de-DE"/>
        </w:rPr>
        <w:t xml:space="preserve">du Puy, </w:t>
      </w:r>
      <w:r>
        <w:rPr>
          <w:rFonts w:ascii="Times New Roman" w:eastAsia="Times New Roman" w:hAnsi="Times New Roman" w:cs="Times New Roman"/>
          <w:color w:val="000000"/>
          <w:spacing w:val="0"/>
          <w:w w:val="100"/>
          <w:position w:val="0"/>
          <w:shd w:val="clear" w:color="auto" w:fill="auto"/>
          <w:lang w:val="en-US" w:eastAsia="en-US" w:bidi="en-US"/>
        </w:rPr>
        <w:t xml:space="preserve">in the matter of the Teutonic order, which describes the Hospital as “ Hospitalem domum sancte </w:t>
      </w:r>
      <w:r>
        <w:rPr>
          <w:rFonts w:ascii="Times New Roman" w:eastAsia="Times New Roman" w:hAnsi="Times New Roman" w:cs="Times New Roman"/>
          <w:color w:val="000000"/>
          <w:spacing w:val="0"/>
          <w:w w:val="100"/>
          <w:position w:val="0"/>
          <w:shd w:val="clear" w:color="auto" w:fill="auto"/>
          <w:lang w:val="de-DE" w:eastAsia="de-DE" w:bidi="de-DE"/>
        </w:rPr>
        <w:t xml:space="preserve">civitatis </w:t>
      </w:r>
      <w:r>
        <w:rPr>
          <w:rFonts w:ascii="Times New Roman" w:eastAsia="Times New Roman" w:hAnsi="Times New Roman" w:cs="Times New Roman"/>
          <w:color w:val="000000"/>
          <w:spacing w:val="0"/>
          <w:w w:val="100"/>
          <w:position w:val="0"/>
          <w:shd w:val="clear" w:color="auto" w:fill="auto"/>
          <w:lang w:val="en-US" w:eastAsia="en-US" w:bidi="en-US"/>
        </w:rPr>
        <w:t xml:space="preserve">Jerusalem, </w:t>
      </w:r>
      <w:r>
        <w:rPr>
          <w:rFonts w:ascii="Times New Roman" w:eastAsia="Times New Roman" w:hAnsi="Times New Roman" w:cs="Times New Roman"/>
          <w:color w:val="000000"/>
          <w:spacing w:val="0"/>
          <w:w w:val="100"/>
          <w:position w:val="0"/>
          <w:shd w:val="clear" w:color="auto" w:fill="auto"/>
          <w:lang w:val="fr-FR" w:eastAsia="fr-FR" w:bidi="fr-FR"/>
        </w:rPr>
        <w:t xml:space="preserve">que </w:t>
      </w:r>
      <w:r>
        <w:rPr>
          <w:rFonts w:ascii="Times New Roman" w:eastAsia="Times New Roman" w:hAnsi="Times New Roman" w:cs="Times New Roman"/>
          <w:color w:val="000000"/>
          <w:spacing w:val="0"/>
          <w:w w:val="100"/>
          <w:position w:val="0"/>
          <w:shd w:val="clear" w:color="auto" w:fill="auto"/>
          <w:lang w:val="en-US" w:eastAsia="en-US" w:bidi="en-US"/>
        </w:rPr>
        <w:t xml:space="preserve">a longis retro temporibus Christi pauperum usibus dedicata, tam christianorum quam etiam Sarracenorum tempore . . . .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Cartulaire, </w:t>
      </w:r>
      <w:r>
        <w:rPr>
          <w:rFonts w:ascii="Times New Roman" w:eastAsia="Times New Roman" w:hAnsi="Times New Roman" w:cs="Times New Roman"/>
          <w:color w:val="000000"/>
          <w:spacing w:val="0"/>
          <w:w w:val="100"/>
          <w:position w:val="0"/>
          <w:shd w:val="clear" w:color="auto" w:fill="auto"/>
          <w:lang w:val="en-US" w:eastAsia="en-US" w:bidi="en-US"/>
        </w:rPr>
        <w:t>i. No. 154).</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solution of the much debated question of the connexion of the Hospital with the Benedictine foundation of Sancta Maria Latina is worked out in much detail by M. Delaville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in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Les Hospitaliers 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Terre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Sainte,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chap. </w:t>
      </w:r>
      <w:r>
        <w:rPr>
          <w:rFonts w:ascii="Times New Roman" w:eastAsia="Times New Roman" w:hAnsi="Times New Roman" w:cs="Times New Roman"/>
          <w:color w:val="000000"/>
          <w:spacing w:val="0"/>
          <w:w w:val="100"/>
          <w:position w:val="0"/>
          <w:shd w:val="clear" w:color="auto" w:fill="auto"/>
          <w:lang w:val="fr-FR" w:eastAsia="fr-FR" w:bidi="fr-FR"/>
        </w:rPr>
        <w:t>i.</w:t>
      </w:r>
    </w:p>
    <w:p>
      <w:pPr>
        <w:pStyle w:val="Style11"/>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William of Tyre says that they erected in that place an altar to St John Eleemon, patriarch of Alexandria, renowned for his charities. This mistake led to the widespread belief that this saint, and not St John the Baptist, was the original patron of the order. A passage in the bull addressed by Pope Paschal to Gerard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No. 30) would seem to leave the dedication in doubt: “ Xenodochium, quod . . . juxta beati </w:t>
      </w:r>
      <w:r>
        <w:rPr>
          <w:rFonts w:ascii="Times New Roman" w:eastAsia="Times New Roman" w:hAnsi="Times New Roman" w:cs="Times New Roman"/>
          <w:color w:val="000000"/>
          <w:spacing w:val="0"/>
          <w:w w:val="100"/>
          <w:position w:val="0"/>
          <w:shd w:val="clear" w:color="auto" w:fill="auto"/>
          <w:lang w:val="de-DE" w:eastAsia="de-DE" w:bidi="de-DE"/>
        </w:rPr>
        <w:t xml:space="preserve">Johannis </w:t>
      </w:r>
      <w:r>
        <w:rPr>
          <w:rFonts w:ascii="Times New Roman" w:eastAsia="Times New Roman" w:hAnsi="Times New Roman" w:cs="Times New Roman"/>
          <w:color w:val="000000"/>
          <w:spacing w:val="0"/>
          <w:w w:val="100"/>
          <w:position w:val="0"/>
          <w:shd w:val="clear" w:color="auto" w:fill="auto"/>
          <w:lang w:val="en-US" w:eastAsia="en-US" w:bidi="en-US"/>
        </w:rPr>
        <w:t xml:space="preserve">Baptistae ecclesiam instituisti.” The </w:t>
      </w:r>
      <w:r>
        <w:rPr>
          <w:rFonts w:ascii="Times New Roman" w:eastAsia="Times New Roman" w:hAnsi="Times New Roman" w:cs="Times New Roman"/>
          <w:color w:val="000000"/>
          <w:spacing w:val="0"/>
          <w:w w:val="100"/>
          <w:position w:val="0"/>
          <w:shd w:val="clear" w:color="auto" w:fill="auto"/>
          <w:lang w:val="fr-FR" w:eastAsia="fr-FR" w:bidi="fr-FR"/>
        </w:rPr>
        <w:t xml:space="preserve">patronage </w:t>
      </w:r>
      <w:r>
        <w:rPr>
          <w:rFonts w:ascii="Times New Roman" w:eastAsia="Times New Roman" w:hAnsi="Times New Roman" w:cs="Times New Roman"/>
          <w:color w:val="000000"/>
          <w:spacing w:val="0"/>
          <w:w w:val="100"/>
          <w:position w:val="0"/>
          <w:shd w:val="clear" w:color="auto" w:fill="auto"/>
          <w:lang w:val="en-US" w:eastAsia="en-US" w:bidi="en-US"/>
        </w:rPr>
        <w:t>of St John may thus have merely been the result of this juxtaposition, as the Templars took their name from the site of the mother-house.</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spite of his fame, nothing is known of his origin. The sur</w:t>
        <w:softHyphen/>
        <w:t xml:space="preserve">name “ Tunc ” or “ Tonque ” often given to him is, as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points out, merely the result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copyist's error for “ Gerardus tunc . .</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legend, he joined the defenders on the walls and, instead of hurling stones, hurled bread at the Christians, who were short of supplies. Haled before the Mussulman governor, his accusers were confounded when the incriminating loaves they produced were discovered to be turned into stones.</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Fours.” So the charter of Baldwin 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(Cartel.</w:t>
      </w:r>
      <w:r>
        <w:rPr>
          <w:rFonts w:ascii="Times New Roman" w:eastAsia="Times New Roman" w:hAnsi="Times New Roman" w:cs="Times New Roman"/>
          <w:color w:val="000000"/>
          <w:spacing w:val="0"/>
          <w:w w:val="100"/>
          <w:position w:val="0"/>
          <w:shd w:val="clear" w:color="auto" w:fill="auto"/>
          <w:lang w:val="en-US" w:eastAsia="en-US" w:bidi="en-US"/>
        </w:rPr>
        <w:t xml:space="preserve"> No. 20; cf. No. 225). In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Hospitaliers</w:t>
      </w:r>
      <w:r>
        <w:rPr>
          <w:rFonts w:ascii="Times New Roman" w:eastAsia="Times New Roman" w:hAnsi="Times New Roman" w:cs="Times New Roman"/>
          <w:color w:val="000000"/>
          <w:spacing w:val="0"/>
          <w:w w:val="100"/>
          <w:position w:val="0"/>
          <w:shd w:val="clear" w:color="auto" w:fill="auto"/>
          <w:lang w:val="fr-FR" w:eastAsia="fr-FR" w:bidi="fr-FR"/>
        </w:rPr>
        <w:t xml:space="preserve"> Le</w:t>
      </w:r>
      <w:r>
        <w:rPr>
          <w:rFonts w:ascii="Times New Roman" w:eastAsia="Times New Roman" w:hAnsi="Times New Roman" w:cs="Times New Roman"/>
          <w:color w:val="000000"/>
          <w:spacing w:val="0"/>
          <w:w w:val="100"/>
          <w:position w:val="0"/>
          <w:shd w:val="clear" w:color="auto" w:fill="auto"/>
          <w:lang w:val="en-US" w:eastAsia="en-US" w:bidi="en-US"/>
        </w:rPr>
        <w:t xml:space="preserve"> Roulx has </w:t>
      </w:r>
      <w:r>
        <w:rPr>
          <w:rFonts w:ascii="Times New Roman" w:eastAsia="Times New Roman" w:hAnsi="Times New Roman" w:cs="Times New Roman"/>
          <w:color w:val="000000"/>
          <w:spacing w:val="0"/>
          <w:w w:val="100"/>
          <w:position w:val="0"/>
          <w:shd w:val="clear" w:color="auto" w:fill="auto"/>
          <w:lang w:val="fr-FR" w:eastAsia="fr-FR" w:bidi="fr-FR"/>
        </w:rPr>
        <w:t xml:space="preserve">“tours,”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towers, probably a misprint.</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existence of a certain Roger as grand master between Gerard and Raymond, maintained by some historians, is finally disproved by Raymond’s own testimony: “ Reginmundus, per gratiam Dei post obitum domini Giraldi factus servus pauperum Christi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46).</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date of this can only be approximately assigned, in so far as it was confirmed by Pone Eugenius III., who died in 1153.</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For text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 No. 70.</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Cartul.</w:t>
      </w:r>
      <w:r>
        <w:rPr>
          <w:rFonts w:ascii="Times New Roman" w:eastAsia="Times New Roman" w:hAnsi="Times New Roman" w:cs="Times New Roman"/>
          <w:color w:val="000000"/>
          <w:spacing w:val="0"/>
          <w:w w:val="100"/>
          <w:position w:val="0"/>
          <w:shd w:val="clear" w:color="auto" w:fill="auto"/>
          <w:lang w:val="en-US" w:eastAsia="en-US" w:bidi="en-US"/>
        </w:rPr>
        <w:t xml:space="preserve"> i. No. 527.</w:t>
      </w:r>
    </w:p>
    <w:p>
      <w:pPr>
        <w:widowControl w:val="0"/>
        <w:spacing w:line="1" w:lineRule="exact"/>
      </w:pPr>
    </w:p>
    <w:sectPr>
      <w:footnotePr>
        <w:pos w:val="pageBottom"/>
        <w:numFmt w:val="decimal"/>
        <w:numRestart w:val="continuous"/>
      </w:footnotePr>
      <w:type w:val="continuous"/>
      <w:pgSz w:w="12240" w:h="15840"/>
      <w:pgMar w:top="703" w:left="877" w:right="906"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2)_"/>
    <w:basedOn w:val="DefaultParagraphFont"/>
    <w:link w:val="Style11"/>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2)"/>
    <w:basedOn w:val="Normal"/>
    <w:link w:val="CharStyle12"/>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