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excellent reading for a not very critical public; he had an extraordinary faculty for never saying the same thing twice in the same way. He earned a large income from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Telegraph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sources, but he never could keep his money. In 1863 he started on his first tour as special foreign correspondent to his paper. He spent the year 1864 in America and published a </w:t>
      </w:r>
      <w:r>
        <w:rPr>
          <w:rFonts w:ascii="Times New Roman" w:eastAsia="Times New Roman" w:hAnsi="Times New Roman" w:cs="Times New Roman"/>
          <w:i/>
          <w:iCs/>
          <w:color w:val="000000"/>
          <w:spacing w:val="0"/>
          <w:w w:val="100"/>
          <w:position w:val="0"/>
          <w:shd w:val="clear" w:color="auto" w:fill="auto"/>
          <w:lang w:val="en-US" w:eastAsia="en-US" w:bidi="en-US"/>
        </w:rPr>
        <w:t>Diary</w:t>
      </w:r>
      <w:r>
        <w:rPr>
          <w:rFonts w:ascii="Times New Roman" w:eastAsia="Times New Roman" w:hAnsi="Times New Roman" w:cs="Times New Roman"/>
          <w:color w:val="000000"/>
          <w:spacing w:val="0"/>
          <w:w w:val="100"/>
          <w:position w:val="0"/>
          <w:shd w:val="clear" w:color="auto" w:fill="auto"/>
          <w:lang w:val="en-US" w:eastAsia="en-US" w:bidi="en-US"/>
        </w:rPr>
        <w:t xml:space="preserve"> of the war. Expeditions to Algiers, to Italy during Garibaldi’s 1866 campaign, to Metz during the Franco-German war, to Spain in 1875 at the end of the Carlist war, were among his early journalistic enterprises, the long list of which closed with his journey through America and Australia in 1885. In 1892, when his reputation was at its height, he started a weekly paper called </w:t>
      </w:r>
      <w:r>
        <w:rPr>
          <w:rFonts w:ascii="Times New Roman" w:eastAsia="Times New Roman" w:hAnsi="Times New Roman" w:cs="Times New Roman"/>
          <w:i/>
          <w:iCs/>
          <w:color w:val="000000"/>
          <w:spacing w:val="0"/>
          <w:w w:val="100"/>
          <w:position w:val="0"/>
          <w:shd w:val="clear" w:color="auto" w:fill="auto"/>
          <w:lang w:val="en-US" w:eastAsia="en-US" w:bidi="en-US"/>
        </w:rPr>
        <w:t>Sala’s Journal,</w:t>
      </w:r>
      <w:r>
        <w:rPr>
          <w:rFonts w:ascii="Times New Roman" w:eastAsia="Times New Roman" w:hAnsi="Times New Roman" w:cs="Times New Roman"/>
          <w:color w:val="000000"/>
          <w:spacing w:val="0"/>
          <w:w w:val="100"/>
          <w:position w:val="0"/>
          <w:shd w:val="clear" w:color="auto" w:fill="auto"/>
          <w:lang w:val="en-US" w:eastAsia="en-US" w:bidi="en-US"/>
        </w:rPr>
        <w:t xml:space="preserve"> but it was a disastrous failure; and in 1895 he had to sell his library of 13,000 volumes. Lord Rosebery gave him a civil list pension of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£100</w:t>
      </w:r>
      <w:r>
        <w:rPr>
          <w:rFonts w:ascii="Times New Roman" w:eastAsia="Times New Roman" w:hAnsi="Times New Roman" w:cs="Times New Roman"/>
          <w:color w:val="000000"/>
          <w:spacing w:val="0"/>
          <w:w w:val="100"/>
          <w:position w:val="0"/>
          <w:shd w:val="clear" w:color="auto" w:fill="auto"/>
          <w:lang w:val="en-US" w:eastAsia="en-US" w:bidi="en-US"/>
        </w:rPr>
        <w:t xml:space="preserve"> a year, but he was a broken-down man, and he died at Brighton on the 8th of December 1895. </w:t>
      </w:r>
      <w:r>
        <w:rPr>
          <w:rFonts w:ascii="Times New Roman" w:eastAsia="Times New Roman" w:hAnsi="Times New Roman" w:cs="Times New Roman"/>
          <w:color w:val="000000"/>
          <w:spacing w:val="0"/>
          <w:w w:val="100"/>
          <w:position w:val="0"/>
          <w:shd w:val="clear" w:color="auto" w:fill="auto"/>
          <w:lang w:val="fr-FR" w:eastAsia="fr-FR" w:bidi="fr-FR"/>
        </w:rPr>
        <w:t xml:space="preserve">Sala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many volumes of fiction, travels and essays, and edited various other works, but his </w:t>
      </w:r>
      <w:r>
        <w:rPr>
          <w:rFonts w:ascii="Times New Roman" w:eastAsia="Times New Roman" w:hAnsi="Times New Roman" w:cs="Times New Roman"/>
          <w:i/>
          <w:iCs/>
          <w:color w:val="000000"/>
          <w:spacing w:val="0"/>
          <w:w w:val="100"/>
          <w:position w:val="0"/>
          <w:shd w:val="clear" w:color="auto" w:fill="auto"/>
          <w:lang w:val="en-US" w:eastAsia="en-US" w:bidi="en-US"/>
        </w:rPr>
        <w:t>metier</w:t>
      </w:r>
      <w:r>
        <w:rPr>
          <w:rFonts w:ascii="Times New Roman" w:eastAsia="Times New Roman" w:hAnsi="Times New Roman" w:cs="Times New Roman"/>
          <w:color w:val="000000"/>
          <w:spacing w:val="0"/>
          <w:w w:val="100"/>
          <w:position w:val="0"/>
          <w:shd w:val="clear" w:color="auto" w:fill="auto"/>
          <w:lang w:val="en-US" w:eastAsia="en-US" w:bidi="en-US"/>
        </w:rPr>
        <w:t xml:space="preserve"> was that of ephemeral journalism.</w:t>
      </w:r>
    </w:p>
    <w:p>
      <w:pPr>
        <w:pStyle w:val="Style8"/>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Life and Adventures of George Augustus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Sala,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written by himself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vols., 1895).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SALAAM (Arab. </w:t>
      </w:r>
      <w:r>
        <w:rPr>
          <w:rFonts w:ascii="Times New Roman" w:eastAsia="Times New Roman" w:hAnsi="Times New Roman" w:cs="Times New Roman"/>
          <w:i/>
          <w:iCs/>
          <w:color w:val="000000"/>
          <w:spacing w:val="0"/>
          <w:w w:val="100"/>
          <w:position w:val="0"/>
          <w:shd w:val="clear" w:color="auto" w:fill="auto"/>
          <w:lang w:val="en-US" w:eastAsia="en-US" w:bidi="en-US"/>
        </w:rPr>
        <w:t>salam, "</w:t>
      </w:r>
      <w:r>
        <w:rPr>
          <w:rFonts w:ascii="Times New Roman" w:eastAsia="Times New Roman" w:hAnsi="Times New Roman" w:cs="Times New Roman"/>
          <w:color w:val="000000"/>
          <w:spacing w:val="0"/>
          <w:w w:val="100"/>
          <w:position w:val="0"/>
          <w:shd w:val="clear" w:color="auto" w:fill="auto"/>
          <w:lang w:val="en-US" w:eastAsia="en-US" w:bidi="en-US"/>
        </w:rPr>
        <w:t>peace"), the Oriental term for a salutation. The word is used for any act of salutation, as of an ambassador to a monarch, and so in a secondary sense of a compliment. Properly it is the oral salutation of Mahommedans to each other; but it has acquired the special meaning of an act of obeisance.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SALAD (Med. Lat. </w:t>
      </w:r>
      <w:r>
        <w:rPr>
          <w:rFonts w:ascii="Times New Roman" w:eastAsia="Times New Roman" w:hAnsi="Times New Roman" w:cs="Times New Roman"/>
          <w:i/>
          <w:iCs/>
          <w:color w:val="000000"/>
          <w:spacing w:val="0"/>
          <w:w w:val="100"/>
          <w:position w:val="0"/>
          <w:shd w:val="clear" w:color="auto" w:fill="auto"/>
          <w:lang w:val="en-US" w:eastAsia="en-US" w:bidi="en-US"/>
        </w:rPr>
        <w:t>salata,</w:t>
      </w:r>
      <w:r>
        <w:rPr>
          <w:rFonts w:ascii="Times New Roman" w:eastAsia="Times New Roman" w:hAnsi="Times New Roman" w:cs="Times New Roman"/>
          <w:color w:val="000000"/>
          <w:spacing w:val="0"/>
          <w:w w:val="100"/>
          <w:position w:val="0"/>
          <w:shd w:val="clear" w:color="auto" w:fill="auto"/>
          <w:lang w:val="en-US" w:eastAsia="en-US" w:bidi="en-US"/>
        </w:rPr>
        <w:t xml:space="preserve"> salted, pickled, </w:t>
      </w:r>
      <w:r>
        <w:rPr>
          <w:rFonts w:ascii="Times New Roman" w:eastAsia="Times New Roman" w:hAnsi="Times New Roman" w:cs="Times New Roman"/>
          <w:i/>
          <w:iCs/>
          <w:color w:val="000000"/>
          <w:spacing w:val="0"/>
          <w:w w:val="100"/>
          <w:position w:val="0"/>
          <w:shd w:val="clear" w:color="auto" w:fill="auto"/>
          <w:lang w:val="en-US" w:eastAsia="en-US" w:bidi="en-US"/>
        </w:rPr>
        <w:t>salare,</w:t>
      </w:r>
      <w:r>
        <w:rPr>
          <w:rFonts w:ascii="Times New Roman" w:eastAsia="Times New Roman" w:hAnsi="Times New Roman" w:cs="Times New Roman"/>
          <w:color w:val="000000"/>
          <w:spacing w:val="0"/>
          <w:w w:val="100"/>
          <w:position w:val="0"/>
          <w:shd w:val="clear" w:color="auto" w:fill="auto"/>
          <w:lang w:val="en-US" w:eastAsia="en-US" w:bidi="en-US"/>
        </w:rPr>
        <w:t xml:space="preserve"> to sprinkle with salt), a dish, originally dressed with salt, of green uncooked herbs, such as lettuce, endive, mustard, cress, &amp;c., usually served with a flavouring of onion, garlic or leeks, and with a dressing of vinegar, oil, mustard, pepper and salt, or with a cream, for which there are many receipts; hard-boiled eggs, radishes and cucumber are also added.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SALADE, </w:t>
      </w:r>
      <w:r>
        <w:rPr>
          <w:rFonts w:ascii="Times New Roman" w:eastAsia="Times New Roman" w:hAnsi="Times New Roman" w:cs="Times New Roman"/>
          <w:smallCaps/>
          <w:color w:val="000000"/>
          <w:spacing w:val="0"/>
          <w:w w:val="100"/>
          <w:position w:val="0"/>
          <w:shd w:val="clear" w:color="auto" w:fill="auto"/>
          <w:lang w:val="en-US" w:eastAsia="en-US" w:bidi="en-US"/>
        </w:rPr>
        <w:t>Sallet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Salet,</w:t>
      </w:r>
      <w:r>
        <w:rPr>
          <w:rFonts w:ascii="Times New Roman" w:eastAsia="Times New Roman" w:hAnsi="Times New Roman" w:cs="Times New Roman"/>
          <w:color w:val="000000"/>
          <w:spacing w:val="0"/>
          <w:w w:val="100"/>
          <w:position w:val="0"/>
          <w:shd w:val="clear" w:color="auto" w:fill="auto"/>
          <w:lang w:val="en-US" w:eastAsia="en-US" w:bidi="en-US"/>
        </w:rPr>
        <w:t xml:space="preserve"> a head-piece introduced in the early 15th century replacing the heavy helmet. Its essential features are its smooth rounded surface, like an inverted bowl, and its long projecting neck guard. Usually there was no movable vizor, but the front fixed part covered most of the face, a slit being left for the eyes. The word is said to come through the Old Fr. from the Span. </w:t>
      </w:r>
      <w:r>
        <w:rPr>
          <w:rFonts w:ascii="Times New Roman" w:eastAsia="Times New Roman" w:hAnsi="Times New Roman" w:cs="Times New Roman"/>
          <w:i/>
          <w:iCs/>
          <w:color w:val="000000"/>
          <w:spacing w:val="0"/>
          <w:w w:val="100"/>
          <w:position w:val="0"/>
          <w:shd w:val="clear" w:color="auto" w:fill="auto"/>
          <w:lang w:val="en-US" w:eastAsia="en-US" w:bidi="en-US"/>
        </w:rPr>
        <w:t>celada,</w:t>
      </w:r>
      <w:r>
        <w:rPr>
          <w:rFonts w:ascii="Times New Roman" w:eastAsia="Times New Roman" w:hAnsi="Times New Roman" w:cs="Times New Roman"/>
          <w:color w:val="000000"/>
          <w:spacing w:val="0"/>
          <w:w w:val="100"/>
          <w:position w:val="0"/>
          <w:shd w:val="clear" w:color="auto" w:fill="auto"/>
          <w:lang w:val="en-US" w:eastAsia="en-US" w:bidi="en-US"/>
        </w:rPr>
        <w:t xml:space="preserve"> Ital. </w:t>
      </w:r>
      <w:r>
        <w:rPr>
          <w:rFonts w:ascii="Times New Roman" w:eastAsia="Times New Roman" w:hAnsi="Times New Roman" w:cs="Times New Roman"/>
          <w:i/>
          <w:iCs/>
          <w:color w:val="000000"/>
          <w:spacing w:val="0"/>
          <w:w w:val="100"/>
          <w:position w:val="0"/>
          <w:shd w:val="clear" w:color="auto" w:fill="auto"/>
          <w:lang w:val="en-US" w:eastAsia="en-US" w:bidi="en-US"/>
        </w:rPr>
        <w:t>celata,</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caelata. </w:t>
      </w:r>
      <w:r>
        <w:rPr>
          <w:rFonts w:ascii="Times New Roman" w:eastAsia="Times New Roman" w:hAnsi="Times New Roman" w:cs="Times New Roman"/>
          <w:color w:val="000000"/>
          <w:spacing w:val="0"/>
          <w:w w:val="100"/>
          <w:position w:val="0"/>
          <w:shd w:val="clear" w:color="auto" w:fill="auto"/>
          <w:lang w:val="en-US" w:eastAsia="en-US" w:bidi="en-US"/>
        </w:rPr>
        <w:t xml:space="preserve">sc. </w:t>
      </w:r>
      <w:r>
        <w:rPr>
          <w:rFonts w:ascii="Times New Roman" w:eastAsia="Times New Roman" w:hAnsi="Times New Roman" w:cs="Times New Roman"/>
          <w:i/>
          <w:iCs/>
          <w:color w:val="000000"/>
          <w:spacing w:val="0"/>
          <w:w w:val="100"/>
          <w:position w:val="0"/>
          <w:shd w:val="clear" w:color="auto" w:fill="auto"/>
          <w:lang w:val="en-US" w:eastAsia="en-US" w:bidi="en-US"/>
        </w:rPr>
        <w:t>cassis,</w:t>
      </w:r>
      <w:r>
        <w:rPr>
          <w:rFonts w:ascii="Times New Roman" w:eastAsia="Times New Roman" w:hAnsi="Times New Roman" w:cs="Times New Roman"/>
          <w:color w:val="000000"/>
          <w:spacing w:val="0"/>
          <w:w w:val="100"/>
          <w:position w:val="0"/>
          <w:shd w:val="clear" w:color="auto" w:fill="auto"/>
          <w:lang w:val="en-US" w:eastAsia="en-US" w:bidi="en-US"/>
        </w:rPr>
        <w:t xml:space="preserve"> engraved helmet, </w:t>
      </w:r>
      <w:r>
        <w:rPr>
          <w:rFonts w:ascii="Times New Roman" w:eastAsia="Times New Roman" w:hAnsi="Times New Roman" w:cs="Times New Roman"/>
          <w:i/>
          <w:iCs/>
          <w:color w:val="000000"/>
          <w:spacing w:val="0"/>
          <w:w w:val="100"/>
          <w:position w:val="0"/>
          <w:shd w:val="clear" w:color="auto" w:fill="auto"/>
          <w:lang w:val="en-US" w:eastAsia="en-US" w:bidi="en-US"/>
        </w:rPr>
        <w:t>caelare,</w:t>
      </w:r>
      <w:r>
        <w:rPr>
          <w:rFonts w:ascii="Times New Roman" w:eastAsia="Times New Roman" w:hAnsi="Times New Roman" w:cs="Times New Roman"/>
          <w:color w:val="000000"/>
          <w:spacing w:val="0"/>
          <w:w w:val="100"/>
          <w:position w:val="0"/>
          <w:shd w:val="clear" w:color="auto" w:fill="auto"/>
          <w:lang w:val="en-US" w:eastAsia="en-US" w:bidi="en-US"/>
        </w:rPr>
        <w:t xml:space="preserve"> to engrave, chase (see </w:t>
      </w:r>
      <w:r>
        <w:rPr>
          <w:rFonts w:ascii="Times New Roman" w:eastAsia="Times New Roman" w:hAnsi="Times New Roman" w:cs="Times New Roman"/>
          <w:smallCaps/>
          <w:color w:val="000000"/>
          <w:spacing w:val="0"/>
          <w:w w:val="100"/>
          <w:position w:val="0"/>
          <w:shd w:val="clear" w:color="auto" w:fill="auto"/>
          <w:lang w:val="en-US" w:eastAsia="en-US" w:bidi="en-US"/>
        </w:rPr>
        <w:t>Helmet).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SALADIN (Arab. </w:t>
      </w:r>
      <w:r>
        <w:rPr>
          <w:rFonts w:ascii="Times New Roman" w:eastAsia="Times New Roman" w:hAnsi="Times New Roman" w:cs="Times New Roman"/>
          <w:i/>
          <w:iCs/>
          <w:color w:val="000000"/>
          <w:spacing w:val="0"/>
          <w:w w:val="100"/>
          <w:position w:val="0"/>
          <w:shd w:val="clear" w:color="auto" w:fill="auto"/>
          <w:lang w:val="en-US" w:eastAsia="en-US" w:bidi="en-US"/>
        </w:rPr>
        <w:t>Sala-ud-din,</w:t>
      </w:r>
      <w:r>
        <w:rPr>
          <w:rFonts w:ascii="Times New Roman" w:eastAsia="Times New Roman" w:hAnsi="Times New Roman" w:cs="Times New Roman"/>
          <w:color w:val="000000"/>
          <w:spacing w:val="0"/>
          <w:w w:val="100"/>
          <w:position w:val="0"/>
          <w:shd w:val="clear" w:color="auto" w:fill="auto"/>
          <w:lang w:val="en-US" w:eastAsia="en-US" w:bidi="en-US"/>
        </w:rPr>
        <w:t xml:space="preserve"> “ Honouring the Faith”) (1138- 1193), first Ayyubite sultan of Egypt, was born at Tekrit in 1138. The brilliance of his career was only made possible by the condition of the East in the 12th century. Such authority as remained to the orthodox caliph of Bagdad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Caliphate) </w:t>
      </w:r>
      <w:r>
        <w:rPr>
          <w:rFonts w:ascii="Times New Roman" w:eastAsia="Times New Roman" w:hAnsi="Times New Roman" w:cs="Times New Roman"/>
          <w:color w:val="000000"/>
          <w:spacing w:val="0"/>
          <w:w w:val="100"/>
          <w:position w:val="0"/>
          <w:shd w:val="clear" w:color="auto" w:fill="auto"/>
          <w:lang w:val="en-US" w:eastAsia="en-US" w:bidi="en-US"/>
        </w:rPr>
        <w:t>or the heretical Fatimites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of Cairo was exercised by their viziers. The Seljukian empire had, after 1076, been divided and subdivided among Turkish atabegs. The Latin kingdom of Jerusalem had existed since 1089 only because it was a united force in the midst of disintegration. Gradually, however, Christian enthusiasm had aroused a counter enthusiasm among the Moslems. Zengi, atabeg of Mosul, had inaugurated the sacred war by his campaigns in Syria (1137-1146). Nur-ed-din, his son, had continued his work by further conquests in Syria and Damascus, by the organization of his conquered lands, and, in 1157, by “ publishing everywhere the Holy War.” The opportunity of Saladin lay therefore in the fact that his lifetime covers the period when there was a conscious demand for political union in the defence of the Mahommedan faith. By race Saladin was a Kurd of Armenia. His father, Ayyub (Job), and his uncle Shirkuh, sons of a certain Shadhy of Ajdanakan near Dawin, were both generals in Zengi’s army. In 1139 Ayyub received Baalbek from Zengi, in 1146 he moved, on Zengi’s death, to the court of Damascus. In 1154 his influence secured Damascus to Nur-ed-din and he was made governor. Saladin was therefore educated in the most famous centre of Moslem learning, and represented the best traditions of Moslem culture.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career falls into three parts, his conquests in Egypt 1164- 1174, the annexation of Syria 1174-1187, and lastly the destruc</w:t>
        <w:softHyphen/>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tion of the Latin kingdom and subsequent campaigns against the Christians, 1187-1192. The conquest of Egypt was essential to Nur-ed-din. It was a menace to his empire on the south, the occasional ally of the Franks and the home of the unorthodox caliphs. His pretext was the plea of an exiled vizier, and Shirkuh was ordered to Egypt in 1164, taking Saladin as his lieutenant. The Christians under Count Amalric immediately intervened and the four expeditions which ensued in 1164, 1167, 1168 and 1169 were duels between Christians and Saracens. They resulted in heavy Christian losses, the death of Shirkuh and the appointment of Saladin as vizir. His relations towards the unorthodox caliph Nur-ed-din were marked by extraordinary tact. In 1171 on the death of the Fatimite caliph he was powerful enough to substitute the name of the orthodox caliph in all Egyptian mosques. The Mahommedan religion was thus united against Christianity. To Nur-ed-din he was invariably submissive, but from the vigour which he employed in adding to the fortifications of Cairo and the haste with which he retreated from an attack on Montréal (1171) and Kerak (1173) it is clear that he feared his lord’s jealousy.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1174 Nur-ed-din died, and the period of Saladin’s conquests in Syria begins. Nur-ed-din’s vassals rebelled against his youthful heir, es-Salih, and Saladin came north, nominally to his assistance. In 1174 he entered Damascus, Emesa and Hamah; in 1175 Baalbek and the towns round Aleppo. The next step was political independence. He suppressed the name of es-Salih in prayers and on the coinage, and was formally declared sultan by the caliph 1175. In 1176 he conquered Saif-ud-din of Mosul beyond the Euphrates and was recognized as sovereign by the princes of northern Syria. In 1177 he returned by Damascus to Cairo, which he enriched with colleges, a citadel and an aqueduct. From 1177 to 1180 he made war on the Christians from Egypt, and in 1180 reduced the sultan of Konia to submission. From 1181-1183 he was chiefly occupied in Syria. In 1183 he induced the atabeg Imad-ud-din to exchange Aleppo for the insignificant Sinjar and in 1186 received the homage of the atabeg of Mosul. The last independent vassal was thus subdued and the Latin kingdom enclosed on every side by a hostile empire.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1187 a four years’ truce was broken by the brilliant brigand Renaud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Châtillon and thus began Saladin’s third period of conquest. In May he cut to pieces a small body of Templars and Hospitallers at Tiberias, and, on July 4th, inflicted a crushing defeat upon the united Christian army at Hittin. He then overran Palestine, on September 20th besieged Jerusalem and on October 2nd, after chivalrous clemency to the Christian inhabitants, crowned his victories by entering and purifying the Holy City. In the kingdom only Tyre was left to the Christians. Probably Saladin made his worst strategical error in neglecting to conquer it before winter. The Christians had thus a stronghold whence their remnant marched to attack Acre in June 1189. Saladin immediately surrounded the Christian army and thus began the famous two years’ siege.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Saladin’s lack of a fleet enabled the Christians to receive reinforcements and thus recover from their defeats by land. On the 8th of June 1191 Richard of England arrived, and on the 12th of July Acre capitulated without Saladin’s permission. Richard followed up his victory by an admirably ordered march down the coast to Jaffa and a great victory at Arsuf. During 1191 and 1192 there were four small campaigns in southern Palestine when Richard circled round Beitnuba and Ascalon with Jerusalem as objective. In January 1192 he acknowledged his impotence by renouncing Jerusalem to fortify Ascalon. Negotiations for peace accompanied these demonstrations, which showed that Saladin was master of the situation. Though in July Richard secured two brilliant victories at Jaffa, the treaty made on the 2nd of September was a triumph for Saladin. Only the coast line was left to the Latin kingdom, with a free passage to Jerusalem; and Ascalon was demolished. The union of the Mahommedan East had beyond question dealt the death-blow to the Latin kingdom. Richard returned to Europe, and Saladin returned to Damascus, where on the 4th of March 1193,</w:t>
      </w:r>
    </w:p>
    <w:sectPr>
      <w:footnotePr>
        <w:pos w:val="pageBottom"/>
        <w:numFmt w:val="decimal"/>
        <w:numRestart w:val="continuous"/>
      </w:footnotePr>
      <w:pgSz w:w="12240" w:h="15840"/>
      <w:pgMar w:top="799" w:left="965" w:right="822"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2)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