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traditions of Saul it was doubtless part of his kingdom. It may be that the narrative (which presupposes some account of the fall of Shiloh) is part of an attempt to co-ordinate different traditions of the great palladium.@@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Consequently, the literary structure of the Book of Samuel is throughout involved with a careful criticism of the historical tradi</w:t>
        <w:softHyphen/>
        <w:t xml:space="preserve">tions ascribed to the 11th and beginning of the loth century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The perspective of the past has often been lost, earlier views have been subordinated to later ones, conflicting standpoints have been incorporated. The intricacy of the Deuteronomic redactions still awaits solution, and the late insertion of earlier narratives (which have had their own vicissitudes) complicates the literary evidence. Greater care than usual was taken to weave into the canonical representation of history sources of diverse origin, and it is scarcely possible at present to do more than indicate some of the more important features in the composition of a book, one of the most important of all for the critical study of biblical history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theology.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Hebrew text is often corrupt but can </w:t>
      </w:r>
      <w:r>
        <w:rPr>
          <w:rFonts w:ascii="Times New Roman" w:eastAsia="Times New Roman" w:hAnsi="Times New Roman" w:cs="Times New Roman"/>
          <w:color w:val="000000"/>
          <w:spacing w:val="0"/>
          <w:w w:val="100"/>
          <w:position w:val="0"/>
          <w:shd w:val="clear" w:color="auto" w:fill="auto"/>
          <w:lang w:val="en-US" w:eastAsia="en-US" w:bidi="en-US"/>
        </w:rPr>
        <w:t>frequently be</w:t>
      </w:r>
      <w:r>
        <w:rPr>
          <w:rFonts w:ascii="Times New Roman" w:eastAsia="Times New Roman" w:hAnsi="Times New Roman" w:cs="Times New Roman"/>
          <w:color w:val="000000"/>
          <w:spacing w:val="0"/>
          <w:w w:val="100"/>
          <w:position w:val="0"/>
          <w:shd w:val="clear" w:color="auto" w:fill="auto"/>
          <w:lang w:val="en-US" w:eastAsia="en-US" w:bidi="en-US"/>
        </w:rPr>
        <w:t xml:space="preserve"> corrected with the help of the Septuagint. The parallel portions in Chronicles also sometimes preserve better readings, but must be used with caution as they may represent other recensions or the result of rewriting and reshaping. As a whole, Chronicles presents the period from a later ecclesiastical standpoint, presupposing (in contrast to Samuel) the fully developed “Mosaic” ritual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Chronicles). </w:t>
      </w:r>
      <w:r>
        <w:rPr>
          <w:rFonts w:ascii="Times New Roman" w:eastAsia="Times New Roman" w:hAnsi="Times New Roman" w:cs="Times New Roman"/>
          <w:color w:val="000000"/>
          <w:spacing w:val="0"/>
          <w:w w:val="100"/>
          <w:position w:val="0"/>
          <w:shd w:val="clear" w:color="auto" w:fill="auto"/>
          <w:lang w:val="en-US" w:eastAsia="en-US" w:bidi="en-US"/>
        </w:rPr>
        <w:t xml:space="preserve">After tribal and priestly lists (l Chron. i.-ix.), Saul’s end is suddenly introduced (x., note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13 seq.). David appears no less abruptly, the sequence being 2 Sam. v. 1-3, 6-10, xxiii. 8-39 (with additions, xi. 41-47, and a list of his supporters at Ziklag and Hebron). To 2 Sam. vi. 2-11 there is a “ Levitical ” prelude (xiii. 1-5), then follow v. 11-25, and vi. 12-19, which is embedded in novel material. Next, 2 Sam. vii. seq., x., xi. 1, xii. 30 seq., xxi. 18-22, and finally xxiv. (Chron. xxi.). The last is the prelude to an account of the prepara</w:t>
        <w:softHyphen/>
        <w:t>tion for the temple and the future sovereignty of Solomon, and ends with David’s army and government (Chron. xxvii.), and his conclud</w:t>
        <w:softHyphen/>
        <w:t xml:space="preserve">ing acts (xxviii. seq.). The compiler was not ignorant of other sources (see x. 13, xii. 19, 21, 23), and, in general, carries out, though from a later standpoint, tendencies already manifest in Samuel. The latter in fact is no less the result of editorial processes and since it is now in post-exilic form, this is the starting-point for fresh criticism. The representation of the remote past in Samuel must be viewed, there- fore, in the light of that age when, after a series of vital internal and external vicissitudes in Judah and Benjamin, Judaism established itself in opposition to rival sects and renounced the Samaritans who had inherited the traditions of their land. See further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Jews, </w:t>
      </w:r>
      <w:r>
        <w:rPr>
          <w:rFonts w:ascii="Times New Roman" w:eastAsia="Times New Roman" w:hAnsi="Times New Roman" w:cs="Times New Roman"/>
          <w:color w:val="000000"/>
          <w:spacing w:val="0"/>
          <w:w w:val="100"/>
          <w:position w:val="0"/>
          <w:shd w:val="clear" w:color="auto" w:fill="auto"/>
          <w:lang w:val="en-US" w:eastAsia="en-US" w:bidi="en-US"/>
        </w:rPr>
        <w:t xml:space="preserve">§§ 6-8, 20-23,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Palestine: </w:t>
      </w:r>
      <w:r>
        <w:rPr>
          <w:rFonts w:ascii="Times New Roman" w:eastAsia="Times New Roman" w:hAnsi="Times New Roman" w:cs="Times New Roman"/>
          <w:i/>
          <w:iCs/>
          <w:color w:val="000000"/>
          <w:spacing w:val="0"/>
          <w:w w:val="100"/>
          <w:position w:val="0"/>
          <w:shd w:val="clear" w:color="auto" w:fill="auto"/>
          <w:lang w:val="en-US" w:eastAsia="en-US" w:bidi="en-US"/>
        </w:rPr>
        <w:t>Old Test. History,</w:t>
      </w:r>
      <w:r>
        <w:rPr>
          <w:rFonts w:ascii="Times New Roman" w:eastAsia="Times New Roman" w:hAnsi="Times New Roman" w:cs="Times New Roman"/>
          <w:color w:val="000000"/>
          <w:spacing w:val="0"/>
          <w:w w:val="100"/>
          <w:position w:val="0"/>
          <w:shd w:val="clear" w:color="auto" w:fill="auto"/>
          <w:lang w:val="en-US" w:eastAsia="en-US" w:bidi="en-US"/>
        </w:rPr>
        <w:t xml:space="preserve"> ρρ. 614-616.</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—See further the commentaries of M. Löhr (1898); W. Nowack, K. </w:t>
      </w:r>
      <w:r>
        <w:rPr>
          <w:rFonts w:ascii="Times New Roman" w:eastAsia="Times New Roman" w:hAnsi="Times New Roman" w:cs="Times New Roman"/>
          <w:color w:val="000000"/>
          <w:spacing w:val="0"/>
          <w:w w:val="100"/>
          <w:position w:val="0"/>
          <w:shd w:val="clear" w:color="auto" w:fill="auto"/>
          <w:lang w:val="de-DE" w:eastAsia="de-DE" w:bidi="de-DE"/>
        </w:rPr>
        <w:t xml:space="preserve">Budde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P. Smith in the </w:t>
      </w:r>
      <w:r>
        <w:rPr>
          <w:rFonts w:ascii="Times New Roman" w:eastAsia="Times New Roman" w:hAnsi="Times New Roman" w:cs="Times New Roman"/>
          <w:i/>
          <w:iCs/>
          <w:color w:val="000000"/>
          <w:spacing w:val="0"/>
          <w:w w:val="100"/>
          <w:position w:val="0"/>
          <w:shd w:val="clear" w:color="auto" w:fill="auto"/>
          <w:lang w:val="en-US" w:eastAsia="en-US" w:bidi="en-US"/>
        </w:rPr>
        <w:t>International Critical Commentary</w:t>
      </w:r>
      <w:r>
        <w:rPr>
          <w:rFonts w:ascii="Times New Roman" w:eastAsia="Times New Roman" w:hAnsi="Times New Roman" w:cs="Times New Roman"/>
          <w:color w:val="000000"/>
          <w:spacing w:val="0"/>
          <w:w w:val="100"/>
          <w:position w:val="0"/>
          <w:shd w:val="clear" w:color="auto" w:fill="auto"/>
          <w:lang w:val="en-US" w:eastAsia="en-US" w:bidi="en-US"/>
        </w:rPr>
        <w:t xml:space="preserve"> (1899), with his </w:t>
      </w:r>
      <w:r>
        <w:rPr>
          <w:rFonts w:ascii="Times New Roman" w:eastAsia="Times New Roman" w:hAnsi="Times New Roman" w:cs="Times New Roman"/>
          <w:i/>
          <w:iCs/>
          <w:color w:val="000000"/>
          <w:spacing w:val="0"/>
          <w:w w:val="100"/>
          <w:position w:val="0"/>
          <w:shd w:val="clear" w:color="auto" w:fill="auto"/>
          <w:lang w:val="en-US" w:eastAsia="en-US" w:bidi="en-US"/>
        </w:rPr>
        <w:t>Old Testament History,</w:t>
      </w:r>
      <w:r>
        <w:rPr>
          <w:rFonts w:ascii="Times New Roman" w:eastAsia="Times New Roman" w:hAnsi="Times New Roman" w:cs="Times New Roman"/>
          <w:color w:val="000000"/>
          <w:spacing w:val="0"/>
          <w:w w:val="100"/>
          <w:position w:val="0"/>
          <w:shd w:val="clear" w:color="auto" w:fill="auto"/>
          <w:lang w:val="en-US" w:eastAsia="en-US" w:bidi="en-US"/>
        </w:rPr>
        <w:t xml:space="preserve"> pp. 107- 155, and the small but well-annotated edition of A. R. S. Kennedy in the </w:t>
      </w:r>
      <w:r>
        <w:rPr>
          <w:rFonts w:ascii="Times New Roman" w:eastAsia="Times New Roman" w:hAnsi="Times New Roman" w:cs="Times New Roman"/>
          <w:i/>
          <w:iCs/>
          <w:color w:val="000000"/>
          <w:spacing w:val="0"/>
          <w:w w:val="100"/>
          <w:position w:val="0"/>
          <w:shd w:val="clear" w:color="auto" w:fill="auto"/>
          <w:lang w:val="en-US" w:eastAsia="en-US" w:bidi="en-US"/>
        </w:rPr>
        <w:t>Century Bible</w:t>
      </w:r>
      <w:r>
        <w:rPr>
          <w:rFonts w:ascii="Times New Roman" w:eastAsia="Times New Roman" w:hAnsi="Times New Roman" w:cs="Times New Roman"/>
          <w:color w:val="000000"/>
          <w:spacing w:val="0"/>
          <w:w w:val="100"/>
          <w:position w:val="0"/>
          <w:shd w:val="clear" w:color="auto" w:fill="auto"/>
          <w:lang w:val="en-US" w:eastAsia="en-US" w:bidi="en-US"/>
        </w:rPr>
        <w:t xml:space="preserve"> (1905). All these give fuller bibliographical information, for which see also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R. Driver, </w:t>
      </w:r>
      <w:r>
        <w:rPr>
          <w:rFonts w:ascii="Times New Roman" w:eastAsia="Times New Roman" w:hAnsi="Times New Roman" w:cs="Times New Roman"/>
          <w:i/>
          <w:iCs/>
          <w:color w:val="000000"/>
          <w:spacing w:val="0"/>
          <w:w w:val="100"/>
          <w:position w:val="0"/>
          <w:shd w:val="clear" w:color="auto" w:fill="auto"/>
          <w:lang w:val="en-US" w:eastAsia="en-US" w:bidi="en-US"/>
        </w:rPr>
        <w:t>Introduction to Literature of Old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and the articles by J. Stenning in Hastings's </w:t>
      </w:r>
      <w:r>
        <w:rPr>
          <w:rFonts w:ascii="Times New Roman" w:eastAsia="Times New Roman" w:hAnsi="Times New Roman" w:cs="Times New Roman"/>
          <w:i/>
          <w:iCs/>
          <w:color w:val="000000"/>
          <w:spacing w:val="0"/>
          <w:w w:val="100"/>
          <w:position w:val="0"/>
          <w:shd w:val="clear" w:color="auto" w:fill="auto"/>
          <w:lang w:val="en-US" w:eastAsia="en-US" w:bidi="en-US"/>
        </w:rPr>
        <w:t>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 xml:space="preserve">B. Stade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Ency. Bib.</w:t>
      </w:r>
      <w:r>
        <w:rPr>
          <w:rFonts w:ascii="Times New Roman" w:eastAsia="Times New Roman" w:hAnsi="Times New Roman" w:cs="Times New Roman"/>
          <w:color w:val="000000"/>
          <w:spacing w:val="0"/>
          <w:w w:val="100"/>
          <w:position w:val="0"/>
          <w:shd w:val="clear" w:color="auto" w:fill="auto"/>
          <w:lang w:val="en-US" w:eastAsia="en-US" w:bidi="en-US"/>
        </w:rPr>
        <w:t xml:space="preserve"> For the text, see especially J. Wellhausen’s model </w:t>
      </w:r>
      <w:r>
        <w:rPr>
          <w:rFonts w:ascii="Times New Roman" w:eastAsia="Times New Roman" w:hAnsi="Times New Roman" w:cs="Times New Roman"/>
          <w:i/>
          <w:iCs/>
          <w:color w:val="000000"/>
          <w:spacing w:val="0"/>
          <w:w w:val="100"/>
          <w:position w:val="0"/>
          <w:shd w:val="clear" w:color="auto" w:fill="auto"/>
          <w:lang w:val="de-DE" w:eastAsia="de-DE" w:bidi="de-DE"/>
        </w:rPr>
        <w:t xml:space="preserve">Text-Bücher </w:t>
      </w:r>
      <w:r>
        <w:rPr>
          <w:rFonts w:ascii="Times New Roman" w:eastAsia="Times New Roman" w:hAnsi="Times New Roman" w:cs="Times New Roman"/>
          <w:i/>
          <w:iCs/>
          <w:color w:val="000000"/>
          <w:spacing w:val="0"/>
          <w:w w:val="100"/>
          <w:position w:val="0"/>
          <w:shd w:val="clear" w:color="auto" w:fill="auto"/>
          <w:lang w:val="en-US" w:eastAsia="en-US" w:bidi="en-US"/>
        </w:rPr>
        <w:t>Sam.</w:t>
      </w:r>
      <w:r>
        <w:rPr>
          <w:rFonts w:ascii="Times New Roman" w:eastAsia="Times New Roman" w:hAnsi="Times New Roman" w:cs="Times New Roman"/>
          <w:color w:val="000000"/>
          <w:spacing w:val="0"/>
          <w:w w:val="100"/>
          <w:position w:val="0"/>
          <w:shd w:val="clear" w:color="auto" w:fill="auto"/>
          <w:lang w:val="en-US" w:eastAsia="en-US" w:bidi="en-US"/>
        </w:rPr>
        <w:t xml:space="preserve"> (1871); </w:t>
      </w:r>
      <w:r>
        <w:rPr>
          <w:rFonts w:ascii="Times New Roman" w:eastAsia="Times New Roman" w:hAnsi="Times New Roman" w:cs="Times New Roman"/>
          <w:color w:val="000000"/>
          <w:spacing w:val="0"/>
          <w:w w:val="100"/>
          <w:position w:val="0"/>
          <w:shd w:val="clear" w:color="auto" w:fill="auto"/>
          <w:lang w:val="fr-FR" w:eastAsia="fr-FR" w:bidi="fr-FR"/>
        </w:rPr>
        <w:t xml:space="preserve">S. R. Driver, </w:t>
      </w:r>
      <w:r>
        <w:rPr>
          <w:rFonts w:ascii="Times New Roman" w:eastAsia="Times New Roman" w:hAnsi="Times New Roman" w:cs="Times New Roman"/>
          <w:i/>
          <w:iCs/>
          <w:color w:val="000000"/>
          <w:spacing w:val="0"/>
          <w:w w:val="100"/>
          <w:position w:val="0"/>
          <w:shd w:val="clear" w:color="auto" w:fill="auto"/>
          <w:lang w:val="en-US" w:eastAsia="en-US" w:bidi="en-US"/>
        </w:rPr>
        <w:t>Text of Samuel</w:t>
      </w:r>
      <w:r>
        <w:rPr>
          <w:rFonts w:ascii="Times New Roman" w:eastAsia="Times New Roman" w:hAnsi="Times New Roman" w:cs="Times New Roman"/>
          <w:color w:val="000000"/>
          <w:spacing w:val="0"/>
          <w:w w:val="100"/>
          <w:position w:val="0"/>
          <w:shd w:val="clear" w:color="auto" w:fill="auto"/>
          <w:lang w:val="en-US" w:eastAsia="en-US" w:bidi="en-US"/>
        </w:rPr>
        <w:t xml:space="preserve"> (1890); K. Budde’s edition in Haupt’s </w:t>
      </w:r>
      <w:r>
        <w:rPr>
          <w:rFonts w:ascii="Times New Roman" w:eastAsia="Times New Roman" w:hAnsi="Times New Roman" w:cs="Times New Roman"/>
          <w:i/>
          <w:iCs/>
          <w:color w:val="000000"/>
          <w:spacing w:val="0"/>
          <w:w w:val="100"/>
          <w:position w:val="0"/>
          <w:shd w:val="clear" w:color="auto" w:fill="auto"/>
          <w:lang w:val="en-US" w:eastAsia="en-US" w:bidi="en-US"/>
        </w:rPr>
        <w:t>Sacred Books of the Old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(1894); P. Dhorme, </w:t>
      </w:r>
      <w:r>
        <w:rPr>
          <w:rFonts w:ascii="Times New Roman" w:eastAsia="Times New Roman" w:hAnsi="Times New Roman" w:cs="Times New Roman"/>
          <w:i/>
          <w:iCs/>
          <w:color w:val="000000"/>
          <w:spacing w:val="0"/>
          <w:w w:val="100"/>
          <w:position w:val="0"/>
          <w:shd w:val="clear" w:color="auto" w:fill="auto"/>
          <w:lang w:val="fr-FR" w:eastAsia="fr-FR" w:bidi="fr-FR"/>
        </w:rPr>
        <w:t>Livres de Samuel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(1910). Of special value for the psychological character of the various narratives is H. Gressmann’s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Schriften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A. T. in </w:t>
      </w:r>
      <w:r>
        <w:rPr>
          <w:rFonts w:ascii="Times New Roman" w:eastAsia="Times New Roman" w:hAnsi="Times New Roman" w:cs="Times New Roman"/>
          <w:i/>
          <w:iCs/>
          <w:color w:val="000000"/>
          <w:spacing w:val="0"/>
          <w:w w:val="100"/>
          <w:position w:val="0"/>
          <w:shd w:val="clear" w:color="auto" w:fill="auto"/>
          <w:lang w:val="de-DE" w:eastAsia="de-DE" w:bidi="de-DE"/>
        </w:rPr>
        <w:t>Auswahl,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i.-iii. (Göttingen, 1909-1910). In so far as the present article takes other views of the results of literary analysis in the light of historical criticism, see S. A. Cook,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American Journ.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Sem. </w:t>
      </w:r>
      <w:r>
        <w:rPr>
          <w:rFonts w:ascii="Times New Roman" w:eastAsia="Times New Roman" w:hAnsi="Times New Roman" w:cs="Times New Roman"/>
          <w:i/>
          <w:iCs/>
          <w:color w:val="000000"/>
          <w:spacing w:val="0"/>
          <w:w w:val="100"/>
          <w:position w:val="0"/>
          <w:shd w:val="clear" w:color="auto" w:fill="auto"/>
          <w:lang w:val="en-US" w:eastAsia="en-US" w:bidi="en-US"/>
        </w:rPr>
        <w:t>Lang.</w:t>
      </w:r>
      <w:r>
        <w:rPr>
          <w:rFonts w:ascii="Times New Roman" w:eastAsia="Times New Roman" w:hAnsi="Times New Roman" w:cs="Times New Roman"/>
          <w:color w:val="000000"/>
          <w:spacing w:val="0"/>
          <w:w w:val="100"/>
          <w:position w:val="0"/>
          <w:shd w:val="clear" w:color="auto" w:fill="auto"/>
          <w:lang w:val="en-US" w:eastAsia="en-US" w:bidi="en-US"/>
        </w:rPr>
        <w:t xml:space="preserve"> (1900), pp. 145 sqq.; and </w:t>
      </w:r>
      <w:r>
        <w:rPr>
          <w:rFonts w:ascii="Times New Roman" w:eastAsia="Times New Roman" w:hAnsi="Times New Roman" w:cs="Times New Roman"/>
          <w:i/>
          <w:iCs/>
          <w:color w:val="000000"/>
          <w:spacing w:val="0"/>
          <w:w w:val="100"/>
          <w:position w:val="0"/>
          <w:shd w:val="clear" w:color="auto" w:fill="auto"/>
          <w:lang w:val="en-US" w:eastAsia="en-US" w:bidi="en-US"/>
        </w:rPr>
        <w:t>Critical Notes on Old Testament History</w:t>
      </w:r>
      <w:r>
        <w:rPr>
          <w:rFonts w:ascii="Times New Roman" w:eastAsia="Times New Roman" w:hAnsi="Times New Roman" w:cs="Times New Roman"/>
          <w:color w:val="000000"/>
          <w:spacing w:val="0"/>
          <w:w w:val="100"/>
          <w:position w:val="0"/>
          <w:shd w:val="clear" w:color="auto" w:fill="auto"/>
          <w:lang w:val="en-US" w:eastAsia="en-US" w:bidi="en-US"/>
        </w:rPr>
        <w:t xml:space="preserve"> (1907) </w:t>
      </w:r>
      <w:r>
        <w:rPr>
          <w:rFonts w:ascii="Times New Roman" w:eastAsia="Times New Roman" w:hAnsi="Times New Roman" w:cs="Times New Roman"/>
          <w:i/>
          <w:iCs/>
          <w:color w:val="000000"/>
          <w:spacing w:val="0"/>
          <w:w w:val="100"/>
          <w:position w:val="0"/>
          <w:shd w:val="clear" w:color="auto" w:fill="auto"/>
          <w:lang w:val="en-US" w:eastAsia="en-US" w:bidi="en-US"/>
        </w:rPr>
        <w:t>(passim).</w:t>
      </w:r>
      <w:r>
        <w:rPr>
          <w:rFonts w:ascii="Times New Roman" w:eastAsia="Times New Roman" w:hAnsi="Times New Roman" w:cs="Times New Roman"/>
          <w:color w:val="000000"/>
          <w:spacing w:val="0"/>
          <w:w w:val="100"/>
          <w:position w:val="0"/>
          <w:shd w:val="clear" w:color="auto" w:fill="auto"/>
          <w:lang w:val="en-US" w:eastAsia="en-US" w:bidi="en-US"/>
        </w:rPr>
        <w:t xml:space="preserve"> (S. A. C.)</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SANA </w:t>
      </w:r>
      <w:r>
        <w:rPr>
          <w:rFonts w:ascii="Times New Roman" w:eastAsia="Times New Roman" w:hAnsi="Times New Roman" w:cs="Times New Roman"/>
          <w:i/>
          <w:iCs/>
          <w:color w:val="000000"/>
          <w:spacing w:val="0"/>
          <w:w w:val="100"/>
          <w:position w:val="0"/>
          <w:shd w:val="clear" w:color="auto" w:fill="auto"/>
          <w:lang w:val="en-US" w:eastAsia="en-US" w:bidi="en-US"/>
        </w:rPr>
        <w:t>(Sena a),</w:t>
      </w:r>
      <w:r>
        <w:rPr>
          <w:rFonts w:ascii="Times New Roman" w:eastAsia="Times New Roman" w:hAnsi="Times New Roman" w:cs="Times New Roman"/>
          <w:color w:val="000000"/>
          <w:spacing w:val="0"/>
          <w:w w:val="100"/>
          <w:position w:val="0"/>
          <w:shd w:val="clear" w:color="auto" w:fill="auto"/>
          <w:lang w:val="en-US" w:eastAsia="en-US" w:bidi="en-US"/>
        </w:rPr>
        <w:t xml:space="preserve"> a town in S. Arabia, the capital of the Turkish vilayet of Yemen. It is situated in 15° 22' N. and 44° 10' E. in a broad valley running nearly N. and S., 7250 ft. above sea-level, on the E. slope of the great meridional range, over which the road runs to Hodeda, on the Red Sea coast 130 m. distant, crossing the Karn al Wa'l pass, over 900o ft., about 25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 of the city. The mean temperature of the year is 60° F., with a summer maximum of 77°, and a regular rainfall which falls chiefly during the S.W. monsoon from June to September. The usual cereals, fruits and vegetables of the temperate zone, wheat, barley, apples, apricots, vines, potatoes, cabbages, beans, &amp;c., are abundant and excellent.</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 consists of three parts—(1) the Medina, the old city, now the Arab quarter, on the E. containing the principal mosques, baths, &amp;c., with the citadel, el Kasr, at its S.E. corner at the foot of Jebel Nukum on the crest of which 2000 ft. above the valley are the ruins of the old fort of el Birash, traditionally attributed to Shem the son of Noah, and the Mutawakkil,</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formerly containing the palace and gardens of the imams, cover</w:t>
        <w:softHyphen/>
        <w:t xml:space="preserve">ing its W. face; (2) the Bir Azab W. of the city, consisting of detached houses and gardens, chiefly occupied by the higher Turkish officials, and (3) on the extreme W. the Ka'el Yahud or Jewish quarter. The city with the Kasr and Mutawakkil is surrounded by ramparts built of clay and sun-dried brick, 25 to 30 ft. high and of great thickness. The Bir Azab and Ka'el Yahud are enclosed in a similar enceinte but of more recent construction, connected with that of the city by the Mutawakkil ; the whole forms a rough figure of eight, some 2½ m. long from E. to W., and ¾ m. in breadth. The walls are pierced by several gates; the principal are the Bab esh Shu'b and the Bab el Yemen in the N. and S. faces of the city respectively, and the Bab </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Sabah in its W. face leading into the Mutawakkil, and thence by a broad street through the Bir Azab and Ka'el Yahud to the Bãb el Ka', the main entrance to the town from the Hodeda road. The city itself has narrow, paved streets, with massive, flat-roofed houses of several storeys, and many extensive groups of buildings, mosques, serais and baths. The Jāmi 'Masjid, or principal mosque, stands on the site of the Christian church built by Abraha ruler of Yemen during the period of Ethiopian domination, about </w:t>
      </w:r>
      <w:r>
        <w:rPr>
          <w:rFonts w:ascii="Times New Roman" w:eastAsia="Times New Roman" w:hAnsi="Times New Roman" w:cs="Times New Roman"/>
          <w:smallCaps/>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330. It consists of a great rectangular courtyard paved with granite, surrounded by a triple arcade, the domed roofs of which are supported by numerous columns of stone or brick; in the centre there is a model of the Ka'ba at Mecca covered with stone flags of various colours arranged chequer-wise. Among the other mosques, of which there are forty-eight in all, that of Salah ed din with its beautiful minaret is one of the finest. Of the Kasr Ghumdan and other ancient buildings, the splendours of which were sung by the poets of the early days of Islam, nothing but mutilated ruins remain; the old palace of the imams, the Mutawakkil, was destroyed during the years of anarchy preceding the Turkish occupation, and the site is now occupied by a military hospital standing in well-kept gardens. The houses consist generally of a ground floor built of dressed stone, surmounted by two or three storeys of burnt brick; as a rule the lower storey has no openings but an arched doorway;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of the upper storeys is pierced by long narrow window recesses, divided into three parts, the lowest of which forms a square window closed by carved wooden shutters, while the upper ones contain round or pointed windows fitted with coloured glass, or thin slabs of alabaster which admit a subdued light.</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valley in which Sana lies is generally sterile, but in places where water is brought from the hill streams on the W. fields of barley, lucerne and market gardens are to be seen, particularly at Randa, the garden suburb, 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the town, and in the deep gorges of the Wadi Dhahr and W. Hadda, the terraced orchards of which are celebrated for their fine fruit-trees. The water supply of the town is derived from numerous wells, and from the Ghail Aswad, a small canal which supplies the military cantonment outside and S. of the walls, and runs through the gardens in the Mutawakkil.</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population was estimated by R. Manzoni in 1887 at </w:t>
      </w:r>
      <w:r>
        <w:rPr>
          <w:rFonts w:ascii="Times New Roman" w:eastAsia="Times New Roman" w:hAnsi="Times New Roman" w:cs="Times New Roman"/>
          <w:i/>
          <w:iCs/>
          <w:color w:val="000000"/>
          <w:spacing w:val="0"/>
          <w:w w:val="100"/>
          <w:position w:val="0"/>
          <w:shd w:val="clear" w:color="auto" w:fill="auto"/>
          <w:lang w:val="en-US" w:eastAsia="en-US" w:bidi="en-US"/>
        </w:rPr>
        <w:t>20,000</w:t>
      </w:r>
      <w:r>
        <w:rPr>
          <w:rFonts w:ascii="Times New Roman" w:eastAsia="Times New Roman" w:hAnsi="Times New Roman" w:cs="Times New Roman"/>
          <w:color w:val="000000"/>
          <w:spacing w:val="0"/>
          <w:w w:val="100"/>
          <w:position w:val="0"/>
          <w:shd w:val="clear" w:color="auto" w:fill="auto"/>
          <w:lang w:val="en-US" w:eastAsia="en-US" w:bidi="en-US"/>
        </w:rPr>
        <w:t xml:space="preserve"> Arabs, 3ooo Turks and 1700 Jews, or less than 25,000 altogether; H. Burchardt in 1891 put it at 50,000; the city has, however, suffered severely from the state of unrest which has been chronic in Yemen since 1893, and more particu</w:t>
        <w:softHyphen/>
        <w:t>larly in 1905, when it was taken by the insurgents, and held by them for three months, and the actual numbers at present do not probably exceed Manzoni’s estimate.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Arabic writers give many discordant and fabulous traditions about the oldest history of Sana and its connexion with the ancient kingdom of Ḥimyar. But most agree that its oldest name was Azãl, which seems to be the same word with Uzal in Gen. x. 27. A Himyarite nation of Auzalites occurs in a Syriac writer of the 6th century. The better-informed Arab writers knew also that the later name is due to the Abyssinian conquerors of Yemen, and that it meant in their language “ fortified ” (Bakrī, p. 606; Nöldeke, </w:t>
      </w:r>
      <w:r>
        <w:rPr>
          <w:rFonts w:ascii="Times New Roman" w:eastAsia="Times New Roman" w:hAnsi="Times New Roman" w:cs="Times New Roman"/>
          <w:i/>
          <w:iCs/>
          <w:color w:val="000000"/>
          <w:spacing w:val="0"/>
          <w:w w:val="100"/>
          <w:position w:val="0"/>
          <w:shd w:val="clear" w:color="auto" w:fill="auto"/>
          <w:lang w:val="en-US" w:eastAsia="en-US" w:bidi="en-US"/>
        </w:rPr>
        <w:t>Gesch. d. Pers. u. Arab.</w:t>
      </w:r>
      <w:r>
        <w:rPr>
          <w:rFonts w:ascii="Times New Roman" w:eastAsia="Times New Roman" w:hAnsi="Times New Roman" w:cs="Times New Roman"/>
          <w:color w:val="000000"/>
          <w:spacing w:val="0"/>
          <w:w w:val="100"/>
          <w:position w:val="0"/>
          <w:shd w:val="clear" w:color="auto" w:fill="auto"/>
          <w:lang w:val="en-US" w:eastAsia="en-US" w:bidi="en-US"/>
        </w:rPr>
        <w:t xml:space="preserve"> p. 187). Sana became the capital of the Abyssinian Abraha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530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who built here the famous church </w:t>
      </w:r>
      <w:r>
        <w:rPr>
          <w:rFonts w:ascii="Times New Roman" w:eastAsia="Times New Roman" w:hAnsi="Times New Roman" w:cs="Times New Roman"/>
          <w:i/>
          <w:iCs/>
          <w:color w:val="000000"/>
          <w:spacing w:val="0"/>
          <w:w w:val="100"/>
          <w:position w:val="0"/>
          <w:shd w:val="clear" w:color="auto" w:fill="auto"/>
          <w:lang w:val="en-US" w:eastAsia="en-US" w:bidi="en-US"/>
        </w:rPr>
        <w:t>(Kalis),</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destroyed two centuries later by order of the caliph Mançur (Azrakī, p. 91).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is on the usual assumption that there was only </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ark in the history of Judah and Israel</w:t>
      </w:r>
      <w:r>
        <w:rPr>
          <w:rFonts w:ascii="Times New Roman" w:eastAsia="Times New Roman" w:hAnsi="Times New Roman" w:cs="Times New Roman"/>
          <w:color w:val="000000"/>
          <w:spacing w:val="0"/>
          <w:w w:val="100"/>
          <w:position w:val="0"/>
          <w:shd w:val="clear" w:color="auto" w:fill="auto"/>
          <w:lang w:val="en-US" w:eastAsia="en-US" w:bidi="en-US"/>
        </w:rPr>
        <w:t>.</w:t>
      </w:r>
    </w:p>
    <w:p>
      <w:pPr>
        <w:widowControl w:val="0"/>
        <w:spacing w:line="1" w:lineRule="exact"/>
      </w:pPr>
    </w:p>
    <w:sectPr>
      <w:footnotePr>
        <w:pos w:val="pageBottom"/>
        <w:numFmt w:val="decimal"/>
        <w:numRestart w:val="continuous"/>
      </w:footnotePr>
      <w:type w:val="continuous"/>
      <w:pgSz w:w="12240" w:h="15840"/>
      <w:pgMar w:top="809" w:left="877" w:right="995" w:bottom="7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