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Kalpa-sötras belonging to this Veda comprise both a manual of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rauta rites, the </w:t>
      </w:r>
      <w:r>
        <w:rPr>
          <w:rFonts w:ascii="Times New Roman" w:eastAsia="Times New Roman" w:hAnsi="Times New Roman" w:cs="Times New Roman"/>
          <w:i/>
          <w:iCs/>
          <w:color w:val="000000"/>
          <w:spacing w:val="0"/>
          <w:w w:val="100"/>
          <w:position w:val="0"/>
          <w:shd w:val="clear" w:color="auto" w:fill="auto"/>
          <w:lang w:val="en-US" w:eastAsia="en-US" w:bidi="en-US"/>
        </w:rPr>
        <w:t>Vait</w:t>
      </w:r>
      <w:r>
        <w:rPr>
          <w:rFonts w:ascii="Times New Roman" w:eastAsia="Times New Roman" w:hAnsi="Times New Roman" w:cs="Times New Roman"/>
          <w:i/>
          <w:iCs/>
          <w:color w:val="000000"/>
          <w:spacing w:val="0"/>
          <w:w w:val="100"/>
          <w:position w:val="0"/>
          <w:shd w:val="clear" w:color="auto" w:fill="auto"/>
          <w:lang w:val="en-US" w:eastAsia="en-US" w:bidi="en-US"/>
        </w:rPr>
        <w:t>ān</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a manual of domestic rites, the </w:t>
      </w:r>
      <w:r>
        <w:rPr>
          <w:rFonts w:ascii="Times New Roman" w:eastAsia="Times New Roman" w:hAnsi="Times New Roman" w:cs="Times New Roman"/>
          <w:i/>
          <w:iCs/>
          <w:color w:val="000000"/>
          <w:spacing w:val="0"/>
          <w:w w:val="100"/>
          <w:position w:val="0"/>
          <w:shd w:val="clear" w:color="auto" w:fill="auto"/>
          <w:lang w:val="en-US" w:eastAsia="en-US" w:bidi="en-US"/>
        </w:rPr>
        <w:t>Kau</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ika-s</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treatise is not only the more interesting of the two, but also the more ancient, being actually quoted in the other. The teacher Kau</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ika is repeatedly referred to in the work on points of ceremonial doctrine. Connected with this 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tra are upwards of seventy </w:t>
      </w:r>
      <w:r>
        <w:rPr>
          <w:rFonts w:ascii="Times New Roman" w:eastAsia="Times New Roman" w:hAnsi="Times New Roman" w:cs="Times New Roman"/>
          <w:i/>
          <w:iCs/>
          <w:color w:val="000000"/>
          <w:spacing w:val="0"/>
          <w:w w:val="100"/>
          <w:position w:val="0"/>
          <w:shd w:val="clear" w:color="auto" w:fill="auto"/>
          <w:lang w:val="en-US" w:eastAsia="en-US" w:bidi="en-US"/>
        </w:rPr>
        <w:t>Pari</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ishtas@@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or supplementary treatises, mostly in metrical form, on various subjects bearing on the performance of grihya rites. The last 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tra- work to be noticed in connexion with this Veda is the </w:t>
      </w:r>
      <w:r>
        <w:rPr>
          <w:rFonts w:ascii="Times New Roman" w:eastAsia="Times New Roman" w:hAnsi="Times New Roman" w:cs="Times New Roman"/>
          <w:i/>
          <w:iCs/>
          <w:color w:val="000000"/>
          <w:spacing w:val="0"/>
          <w:w w:val="100"/>
          <w:position w:val="0"/>
          <w:shd w:val="clear" w:color="auto" w:fill="auto"/>
          <w:lang w:val="en-US" w:eastAsia="en-US" w:bidi="en-US"/>
        </w:rPr>
        <w:t>Saunak</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 xml:space="preserve"> Chatur</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dhy</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yik</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being a Prãtisãkhya of the Atharva-saiµhitã, so called from its consisting of four lectures (adhyãya). Although Saunaka can hardly be credited with being the actual author of the work, considering that his opinion is rejected in the only rule where his name appears, there is no reason to doubt that it chiefly em- bodies the phonetic theories of that teacher, which were afterwards perfected by members of his school. Whether this Saunaka is identical with the writer of that name to whom the final redaction of the Sãkalaprãtisãkhya of the Rík is ascribed is not known; but it is worthy of note that on at least two points where Sãkalya is quoted by P</w:t>
      </w:r>
      <w:r>
        <w:rPr>
          <w:rFonts w:ascii="Times New Roman" w:eastAsia="Times New Roman" w:hAnsi="Times New Roman" w:cs="Times New Roman"/>
          <w:color w:val="000000"/>
          <w:spacing w:val="0"/>
          <w:w w:val="100"/>
          <w:position w:val="0"/>
          <w:shd w:val="clear" w:color="auto" w:fill="auto"/>
          <w:lang w:val="en-US" w:eastAsia="en-US" w:bidi="en-US"/>
        </w:rPr>
        <w:t>āṇ</w:t>
      </w:r>
      <w:r>
        <w:rPr>
          <w:rFonts w:ascii="Times New Roman" w:eastAsia="Times New Roman" w:hAnsi="Times New Roman" w:cs="Times New Roman"/>
          <w:color w:val="000000"/>
          <w:spacing w:val="0"/>
          <w:w w:val="100"/>
          <w:position w:val="0"/>
          <w:shd w:val="clear" w:color="auto" w:fill="auto"/>
          <w:lang w:val="en-US" w:eastAsia="en-US" w:bidi="en-US"/>
        </w:rPr>
        <w:t>ini, the Chaturãdhyäyikã seems to be referred to rather than the Rik-prãtisãkhya. Saunaka is quoted once in the 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jasaneyi-pr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śā</w:t>
      </w:r>
      <w:r>
        <w:rPr>
          <w:rFonts w:ascii="Times New Roman" w:eastAsia="Times New Roman" w:hAnsi="Times New Roman" w:cs="Times New Roman"/>
          <w:color w:val="000000"/>
          <w:spacing w:val="0"/>
          <w:w w:val="100"/>
          <w:position w:val="0"/>
          <w:shd w:val="clear" w:color="auto" w:fill="auto"/>
          <w:lang w:val="en-US" w:eastAsia="en-US" w:bidi="en-US"/>
        </w:rPr>
        <w:t>khya; and it is possible that Kãtyãyana had the Chaturãdhyãyikã in view, though hís reference does not quite tally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 respective rule of that work.</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class of writings already alluded to as traditionally connected with the Atharvaveda are the numerous </w:t>
      </w:r>
      <w:r>
        <w:rPr>
          <w:rFonts w:ascii="Times New Roman" w:eastAsia="Times New Roman" w:hAnsi="Times New Roman" w:cs="Times New Roman"/>
          <w:i/>
          <w:iCs/>
          <w:color w:val="000000"/>
          <w:spacing w:val="0"/>
          <w:w w:val="100"/>
          <w:position w:val="0"/>
          <w:shd w:val="clear" w:color="auto" w:fill="auto"/>
          <w:lang w:val="en-US" w:eastAsia="en-US" w:bidi="en-US"/>
        </w:rPr>
        <w:t>Upanishads@@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which do not specially attach themselves to one or other of the Sa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hit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s or Br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hma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as of the other Vedas. The </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tharva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 xml:space="preserve">a-upanishads, mostly composed in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lokas, may be roughly divided into two classes, viz. those of a purely speculative or general pantheistic character, treating chiefly of the nature of the supreme spirit, and the means of attaining to union therewith, and those of a sectarian tendency. Of the former category, a limited number—such as the Pra</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na, Mu</w:t>
      </w:r>
      <w:r>
        <w:rPr>
          <w:rFonts w:ascii="Times New Roman" w:eastAsia="Times New Roman" w:hAnsi="Times New Roman" w:cs="Times New Roman"/>
          <w:color w:val="000000"/>
          <w:spacing w:val="0"/>
          <w:w w:val="100"/>
          <w:position w:val="0"/>
          <w:shd w:val="clear" w:color="auto" w:fill="auto"/>
          <w:lang w:val="en-US" w:eastAsia="en-US" w:bidi="en-US"/>
        </w:rPr>
        <w:t>ṇḍ</w:t>
      </w:r>
      <w:r>
        <w:rPr>
          <w:rFonts w:ascii="Times New Roman" w:eastAsia="Times New Roman" w:hAnsi="Times New Roman" w:cs="Times New Roman"/>
          <w:color w:val="000000"/>
          <w:spacing w:val="0"/>
          <w:w w:val="100"/>
          <w:position w:val="0"/>
          <w:shd w:val="clear" w:color="auto" w:fill="auto"/>
          <w:lang w:val="en-US" w:eastAsia="en-US" w:bidi="en-US"/>
        </w:rPr>
        <w:t>aka, and M</w:t>
      </w:r>
      <w:r>
        <w:rPr>
          <w:rFonts w:ascii="Times New Roman" w:eastAsia="Times New Roman" w:hAnsi="Times New Roman" w:cs="Times New Roman"/>
          <w:color w:val="000000"/>
          <w:spacing w:val="0"/>
          <w:w w:val="100"/>
          <w:position w:val="0"/>
          <w:shd w:val="clear" w:color="auto" w:fill="auto"/>
          <w:lang w:val="en-US" w:eastAsia="en-US" w:bidi="en-US"/>
        </w:rPr>
        <w:t>āṇḍūk</w:t>
      </w:r>
      <w:r>
        <w:rPr>
          <w:rFonts w:ascii="Times New Roman" w:eastAsia="Times New Roman" w:hAnsi="Times New Roman" w:cs="Times New Roman"/>
          <w:color w:val="000000"/>
          <w:spacing w:val="0"/>
          <w:w w:val="100"/>
          <w:position w:val="0"/>
          <w:shd w:val="clear" w:color="auto" w:fill="auto"/>
          <w:lang w:val="en-US" w:eastAsia="en-US" w:bidi="en-US"/>
        </w:rPr>
        <w:t>ya-upanishads —have probably to be assigned to the later period of Vedic literature ; whilst the others presuppose more or less distinctly the existence of some fully developed system of philosophy, especially the Vedãnta or the Yoga. The sectarian Upanishads, on the other hand— identifying the supreme spirit either with one of the forms of Vish</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u (such as the N</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N</w:t>
      </w:r>
      <w:r>
        <w:rPr>
          <w:rFonts w:ascii="Times New Roman" w:eastAsia="Times New Roman" w:hAnsi="Times New Roman" w:cs="Times New Roman"/>
          <w:color w:val="000000"/>
          <w:spacing w:val="0"/>
          <w:w w:val="100"/>
          <w:position w:val="0"/>
          <w:shd w:val="clear" w:color="auto" w:fill="auto"/>
          <w:lang w:val="en-US" w:eastAsia="en-US" w:bidi="en-US"/>
        </w:rPr>
        <w:t>ṛisiṃha</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pan</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ya, 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ma-t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pan</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ya, Gop</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la- t</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pan</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ya Upanishads), or with Siva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Rudropanishad), or with</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some other deity—belong to post-Vedic times.</w:t>
      </w:r>
    </w:p>
    <w:p>
      <w:pPr>
        <w:pStyle w:val="Style8"/>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2. </w:t>
      </w:r>
      <w:r>
        <w:rPr>
          <w:smallCaps/>
          <w:color w:val="000000"/>
          <w:spacing w:val="0"/>
          <w:w w:val="100"/>
          <w:position w:val="0"/>
          <w:shd w:val="clear" w:color="auto" w:fill="auto"/>
          <w:lang w:val="en-US" w:eastAsia="en-US" w:bidi="en-US"/>
        </w:rPr>
        <w:t>The Classical Period</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Classical Literature of India</w:t>
      </w:r>
      <w:r>
        <w:rPr>
          <w:color w:val="000000"/>
          <w:spacing w:val="0"/>
          <w:w w:val="100"/>
          <w:position w:val="0"/>
          <w:shd w:val="clear" w:color="auto" w:fill="auto"/>
          <w:lang w:val="en-US" w:eastAsia="en-US" w:bidi="en-US"/>
        </w:rPr>
        <w:t xml:space="preserve"> is almost entirely a product of artificial growth, in the sense that its vehicle was not the language of the general body of the people, but of a small and educated class. It would scarcely be possible, even approximately, to fix the time when the literary idiom ceased to be understood by the common people. We only know that in the 3rd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there existed several dialects in different parts of northern India which differed considerably from the Sanskrit; and Buddhist tradition states that Gautama </w:t>
      </w:r>
      <w:r>
        <w:rPr>
          <w:rFonts w:ascii="Times New Roman" w:eastAsia="Times New Roman" w:hAnsi="Times New Roman" w:cs="Times New Roman"/>
          <w:color w:val="000000"/>
          <w:spacing w:val="0"/>
          <w:w w:val="100"/>
          <w:position w:val="0"/>
          <w:shd w:val="clear" w:color="auto" w:fill="auto"/>
          <w:lang w:val="en-US" w:eastAsia="en-US" w:bidi="en-US"/>
        </w:rPr>
        <w:t>Śā</w:t>
      </w:r>
      <w:r>
        <w:rPr>
          <w:color w:val="000000"/>
          <w:spacing w:val="0"/>
          <w:w w:val="100"/>
          <w:position w:val="0"/>
          <w:shd w:val="clear" w:color="auto" w:fill="auto"/>
          <w:lang w:val="en-US" w:eastAsia="en-US" w:bidi="en-US"/>
        </w:rPr>
        <w:t xml:space="preserve">kyamuni himself, in the 6th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used the local dialect of Magadha (Behar) for preaching his new doctrine. Not unlikely, indeed, popular dialects, differing perhaps but slightly from one another, may have existed as early as the time of the Vedic hymns, when the Indo-Aryans, divided into clans and tribes, occupied the Land of the Seven Rivers; but such dialects must have sprung up after the extension of the Aryan sway and language over the whole breadth of northern India. But there is no reason why, even with the existence of local dialects, the literary language should not have kept in touch with the people in India, as else</w:t>
        <w:softHyphen/>
        <w:t>where, save for the fact that from a certain time that language remained altogether stationary, allowing the vernacular dialects more and more to diverge from it. Although linguistic research had been successfully carried on in India for centuries, the actual grammatical fixation of Sanskrit seems to have taken place about contemporaneously with the first spread of Buddhism; and</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indeed that popular religious movement undoubtedly exercised a powerful influence on the linguistic development of India.</w:t>
      </w:r>
    </w:p>
    <w:p>
      <w:pPr>
        <w:pStyle w:val="Style8"/>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Poetical Literature.</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Epic Poems.—</w:t>
      </w:r>
      <w:r>
        <w:rPr>
          <w:color w:val="000000"/>
          <w:spacing w:val="0"/>
          <w:w w:val="100"/>
          <w:position w:val="0"/>
          <w:shd w:val="clear" w:color="auto" w:fill="auto"/>
          <w:lang w:val="en-US" w:eastAsia="en-US" w:bidi="en-US"/>
        </w:rPr>
        <w:t xml:space="preserve">The Hindus, like the Greeks, possess two great national epics, the </w:t>
      </w:r>
      <w:r>
        <w:rPr>
          <w:i/>
          <w:iCs/>
          <w:color w:val="000000"/>
          <w:spacing w:val="0"/>
          <w:w w:val="100"/>
          <w:position w:val="0"/>
          <w:shd w:val="clear" w:color="auto" w:fill="auto"/>
          <w:lang w:val="en-US" w:eastAsia="en-US" w:bidi="en-US"/>
        </w:rPr>
        <w:t>Mahabharata</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en-US" w:eastAsia="en-US" w:bidi="en-US"/>
        </w:rPr>
        <w:t>ya</w:t>
      </w:r>
      <w:r>
        <w:rPr>
          <w:rFonts w:ascii="Times New Roman" w:eastAsia="Times New Roman" w:hAnsi="Times New Roman" w:cs="Times New Roman"/>
          <w:i/>
          <w:iCs/>
          <w:color w:val="000000"/>
          <w:spacing w:val="0"/>
          <w:w w:val="100"/>
          <w:position w:val="0"/>
          <w:shd w:val="clear" w:color="auto" w:fill="auto"/>
          <w:lang w:val="en-US" w:eastAsia="en-US" w:bidi="en-US"/>
        </w:rPr>
        <w:t>ṇ</w:t>
      </w:r>
      <w:r>
        <w:rPr>
          <w:i/>
          <w:iCs/>
          <w:color w:val="000000"/>
          <w:spacing w:val="0"/>
          <w:w w:val="100"/>
          <w:position w:val="0"/>
          <w:shd w:val="clear" w:color="auto" w:fill="auto"/>
          <w:lang w:val="en-US" w:eastAsia="en-US" w:bidi="en-US"/>
        </w:rPr>
        <w:t xml:space="preserve">α.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Mahabharata@@</w:t>
      </w:r>
      <w:r>
        <w:rPr>
          <w:color w:val="000000"/>
          <w:spacing w:val="0"/>
          <w:w w:val="100"/>
          <w:position w:val="0"/>
          <w:shd w:val="clear" w:color="auto" w:fill="auto"/>
          <w:vertAlign w:val="superscript"/>
          <w:lang w:val="en-US" w:eastAsia="en-US" w:bidi="en-US"/>
        </w:rPr>
        <w:t>6</w:t>
      </w:r>
      <w:r>
        <w:rPr>
          <w:i/>
          <w:iCs/>
          <w:color w:val="000000"/>
          <w:spacing w:val="0"/>
          <w:w w:val="100"/>
          <w:position w:val="0"/>
          <w:shd w:val="clear" w:color="auto" w:fill="auto"/>
          <w:lang w:val="en-US" w:eastAsia="en-US" w:bidi="en-US"/>
        </w:rPr>
        <w:t>? i.e.</w:t>
      </w:r>
      <w:r>
        <w:rPr>
          <w:color w:val="000000"/>
          <w:spacing w:val="0"/>
          <w:w w:val="100"/>
          <w:position w:val="0"/>
          <w:shd w:val="clear" w:color="auto" w:fill="auto"/>
          <w:lang w:val="en-US" w:eastAsia="en-US" w:bidi="en-US"/>
        </w:rPr>
        <w:t xml:space="preserve"> “ the great (poem or tale) of the Bh</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ratas,” is not so much a uniform epic poem as a miscellaneous collection of poetry, consisting of a heterogeneous mass of legendary and didactic matter, worked into and round a central heroic narrative. The authorship of this work is aptly attributed to Vy</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sa, “ the arranger,” the personification of Indian diaskeuasis. Only the bare outline of the leading story can here be given.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royal line </w:t>
      </w:r>
      <w:r>
        <w:rPr>
          <w:rFonts w:ascii="Georgia" w:eastAsia="Georgia" w:hAnsi="Georgia" w:cs="Georgia"/>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Hastin</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pura (the ancient Delhi)—claiming descent from the moon, and hence called the Lunar race (soma- va</w:t>
      </w:r>
      <w:r>
        <w:rPr>
          <w:rFonts w:ascii="Times New Roman" w:eastAsia="Times New Roman" w:hAnsi="Times New Roman" w:cs="Times New Roman"/>
          <w:color w:val="000000"/>
          <w:spacing w:val="0"/>
          <w:w w:val="100"/>
          <w:position w:val="0"/>
          <w:shd w:val="clear" w:color="auto" w:fill="auto"/>
          <w:lang w:val="en-US" w:eastAsia="en-US" w:bidi="en-US"/>
        </w:rPr>
        <w:t>ṃś</w:t>
      </w:r>
      <w:r>
        <w:rPr>
          <w:rFonts w:ascii="Times New Roman" w:eastAsia="Times New Roman" w:hAnsi="Times New Roman" w:cs="Times New Roman"/>
          <w:color w:val="000000"/>
          <w:spacing w:val="0"/>
          <w:w w:val="100"/>
          <w:position w:val="0"/>
          <w:shd w:val="clear" w:color="auto" w:fill="auto"/>
          <w:lang w:val="en-US" w:eastAsia="en-US" w:bidi="en-US"/>
        </w:rPr>
        <w:t xml:space="preserve">a), and counting among its ancestors King </w:t>
      </w:r>
      <w:r>
        <w:rPr>
          <w:rFonts w:ascii="Times New Roman" w:eastAsia="Times New Roman" w:hAnsi="Times New Roman" w:cs="Times New Roman"/>
          <w:color w:val="000000"/>
          <w:spacing w:val="0"/>
          <w:w w:val="100"/>
          <w:position w:val="0"/>
          <w:shd w:val="clear" w:color="auto" w:fill="auto"/>
          <w:lang w:val="fr-FR" w:eastAsia="fr-FR" w:bidi="fr-FR"/>
        </w:rPr>
        <w:t xml:space="preserve">Bharata, </w:t>
      </w:r>
      <w:r>
        <w:rPr>
          <w:rFonts w:ascii="Times New Roman" w:eastAsia="Times New Roman" w:hAnsi="Times New Roman" w:cs="Times New Roman"/>
          <w:color w:val="000000"/>
          <w:spacing w:val="0"/>
          <w:w w:val="100"/>
          <w:position w:val="0"/>
          <w:shd w:val="clear" w:color="auto" w:fill="auto"/>
          <w:lang w:val="en-US" w:eastAsia="en-US" w:bidi="en-US"/>
        </w:rPr>
        <w:t>after whom India is called Bh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rata-varsha (land of the Bhãratas)—the succession lay between two brothers, when Dh</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itar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ra, the elder, being blind, had to make way for his brother P</w:t>
      </w:r>
      <w:r>
        <w:rPr>
          <w:rFonts w:ascii="Times New Roman" w:eastAsia="Times New Roman" w:hAnsi="Times New Roman" w:cs="Times New Roman"/>
          <w:color w:val="000000"/>
          <w:spacing w:val="0"/>
          <w:w w:val="100"/>
          <w:position w:val="0"/>
          <w:shd w:val="clear" w:color="auto" w:fill="auto"/>
          <w:lang w:val="en-US" w:eastAsia="en-US" w:bidi="en-US"/>
        </w:rPr>
        <w:t>āṇḍ</w:t>
      </w:r>
      <w:r>
        <w:rPr>
          <w:rFonts w:ascii="Times New Roman" w:eastAsia="Times New Roman" w:hAnsi="Times New Roman" w:cs="Times New Roman"/>
          <w:color w:val="000000"/>
          <w:spacing w:val="0"/>
          <w:w w:val="100"/>
          <w:position w:val="0"/>
          <w:shd w:val="clear" w:color="auto" w:fill="auto"/>
          <w:lang w:val="en-US" w:eastAsia="en-US" w:bidi="en-US"/>
        </w:rPr>
        <w:t>u. After a time the latter retired to the forest to pass the remainder of his life in hunting; and Dh</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itar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ra assumed the government, assisted by his uncle Bh</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shma, the Nestor of the poem. After some years Pa</w:t>
      </w:r>
      <w:r>
        <w:rPr>
          <w:rFonts w:ascii="Times New Roman" w:eastAsia="Times New Roman" w:hAnsi="Times New Roman" w:cs="Times New Roman"/>
          <w:color w:val="000000"/>
          <w:spacing w:val="0"/>
          <w:w w:val="100"/>
          <w:position w:val="0"/>
          <w:shd w:val="clear" w:color="auto" w:fill="auto"/>
          <w:lang w:val="en-US" w:eastAsia="en-US" w:bidi="en-US"/>
        </w:rPr>
        <w:t>ṇḍu</w:t>
      </w:r>
      <w:r>
        <w:rPr>
          <w:rFonts w:ascii="Times New Roman" w:eastAsia="Times New Roman" w:hAnsi="Times New Roman" w:cs="Times New Roman"/>
          <w:color w:val="000000"/>
          <w:spacing w:val="0"/>
          <w:w w:val="100"/>
          <w:position w:val="0"/>
          <w:shd w:val="clear" w:color="auto" w:fill="auto"/>
          <w:lang w:val="en-US" w:eastAsia="en-US" w:bidi="en-US"/>
        </w:rPr>
        <w:t xml:space="preserve"> died, leaving five sons, viz. Yudhish</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hira, Bh</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ma and Arjuna by his chief wife Kunt</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and the twins Nakula and Sahadeva by M</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dr</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The latter having burnt herself along with her dead husband, Kunt</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returned with the five princes to Hastinãpura, and was well received by the king, who offered to have his nephews brought up together with his own sons, of whom he had a hundred, Duryodhana being the eldest. From their great-grandfather Kuru both families are called </w:t>
      </w:r>
      <w:r>
        <w:rPr>
          <w:rFonts w:ascii="Times New Roman" w:eastAsia="Times New Roman" w:hAnsi="Times New Roman" w:cs="Times New Roman"/>
          <w:i/>
          <w:iCs/>
          <w:color w:val="000000"/>
          <w:spacing w:val="0"/>
          <w:w w:val="100"/>
          <w:position w:val="0"/>
          <w:shd w:val="clear" w:color="auto" w:fill="auto"/>
          <w:lang w:val="en-US" w:eastAsia="en-US" w:bidi="en-US"/>
        </w:rPr>
        <w:t>Kauravas</w:t>
      </w:r>
      <w:r>
        <w:rPr>
          <w:rFonts w:ascii="Times New Roman" w:eastAsia="Times New Roman" w:hAnsi="Times New Roman" w:cs="Times New Roman"/>
          <w:color w:val="000000"/>
          <w:spacing w:val="0"/>
          <w:w w:val="100"/>
          <w:position w:val="0"/>
          <w:shd w:val="clear" w:color="auto" w:fill="auto"/>
          <w:lang w:val="en-US" w:eastAsia="en-US" w:bidi="en-US"/>
        </w:rPr>
        <w:t xml:space="preserve"> ; but for distinction that name is more usually applied to the sons of Dh</w:t>
      </w:r>
      <w:r>
        <w:rPr>
          <w:rFonts w:ascii="Times New Roman" w:eastAsia="Times New Roman" w:hAnsi="Times New Roman" w:cs="Times New Roman"/>
          <w:color w:val="000000"/>
          <w:spacing w:val="0"/>
          <w:w w:val="100"/>
          <w:position w:val="0"/>
          <w:shd w:val="clear" w:color="auto" w:fill="auto"/>
          <w:lang w:val="en-US" w:eastAsia="en-US" w:bidi="en-US"/>
        </w:rPr>
        <w:t>ṛi</w:t>
      </w:r>
      <w:r>
        <w:rPr>
          <w:rFonts w:ascii="Times New Roman" w:eastAsia="Times New Roman" w:hAnsi="Times New Roman" w:cs="Times New Roman"/>
          <w:color w:val="000000"/>
          <w:spacing w:val="0"/>
          <w:w w:val="100"/>
          <w:position w:val="0"/>
          <w:shd w:val="clear" w:color="auto" w:fill="auto"/>
          <w:lang w:val="en-US" w:eastAsia="en-US" w:bidi="en-US"/>
        </w:rPr>
        <w:t>tar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 xml:space="preserve">ra, while their cousins, as the younger line, are named, after their father,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āṇḍ</w:t>
      </w:r>
      <w:r>
        <w:rPr>
          <w:rFonts w:ascii="Times New Roman" w:eastAsia="Times New Roman" w:hAnsi="Times New Roman" w:cs="Times New Roman"/>
          <w:i/>
          <w:iCs/>
          <w:color w:val="000000"/>
          <w:spacing w:val="0"/>
          <w:w w:val="100"/>
          <w:position w:val="0"/>
          <w:shd w:val="clear" w:color="auto" w:fill="auto"/>
          <w:lang w:val="en-US" w:eastAsia="en-US" w:bidi="en-US"/>
        </w:rPr>
        <w:t xml:space="preserve">avas. </w:t>
      </w:r>
      <w:r>
        <w:rPr>
          <w:rFonts w:ascii="Times New Roman" w:eastAsia="Times New Roman" w:hAnsi="Times New Roman" w:cs="Times New Roman"/>
          <w:color w:val="000000"/>
          <w:spacing w:val="0"/>
          <w:w w:val="100"/>
          <w:position w:val="0"/>
          <w:shd w:val="clear" w:color="auto" w:fill="auto"/>
          <w:lang w:val="en-US" w:eastAsia="en-US" w:bidi="en-US"/>
        </w:rPr>
        <w:t>The rivalry and varying fortunes of these two houses form the main plot of the great epopee. The P</w:t>
      </w:r>
      <w:r>
        <w:rPr>
          <w:rFonts w:ascii="Times New Roman" w:eastAsia="Times New Roman" w:hAnsi="Times New Roman" w:cs="Times New Roman"/>
          <w:color w:val="000000"/>
          <w:spacing w:val="0"/>
          <w:w w:val="100"/>
          <w:position w:val="0"/>
          <w:shd w:val="clear" w:color="auto" w:fill="auto"/>
          <w:lang w:val="en-US" w:eastAsia="en-US" w:bidi="en-US"/>
        </w:rPr>
        <w:t>āṇḍu</w:t>
      </w:r>
      <w:r>
        <w:rPr>
          <w:rFonts w:ascii="Times New Roman" w:eastAsia="Times New Roman" w:hAnsi="Times New Roman" w:cs="Times New Roman"/>
          <w:color w:val="000000"/>
          <w:spacing w:val="0"/>
          <w:w w:val="100"/>
          <w:position w:val="0"/>
          <w:shd w:val="clear" w:color="auto" w:fill="auto"/>
          <w:lang w:val="en-US" w:eastAsia="en-US" w:bidi="en-US"/>
        </w:rPr>
        <w:t xml:space="preserve"> princes soon proved themselves greatly superior to their cousins; and Yudhishthira, the eldest of them all, was to be appointed heir-apparent. But, by his son’s advice, the king, good-natured but weak, induced his nephews for a time to retire from court and reside at a house where the unscrupulous Duryodhana meant to destroy them. They escaped, however, and passed some time in the forest with their mother. Here Draupadï, daughter of King Drupada of Panchãla, won by Arjuna in open contest, became the wife of the five brothers. On that occasion they also met their cousin, Kunt</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’s nephew, the famous 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dava prince K</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ish</w:t>
      </w:r>
      <w:r>
        <w:rPr>
          <w:rFonts w:ascii="Times New Roman" w:eastAsia="Times New Roman" w:hAnsi="Times New Roman" w:cs="Times New Roman"/>
          <w:color w:val="000000"/>
          <w:spacing w:val="0"/>
          <w:w w:val="100"/>
          <w:position w:val="0"/>
          <w:shd w:val="clear" w:color="auto" w:fill="auto"/>
          <w:lang w:val="en-US" w:eastAsia="en-US" w:bidi="en-US"/>
        </w:rPr>
        <w:t>ṇ</w:t>
      </w:r>
      <w:r>
        <w:rPr>
          <w:rFonts w:ascii="Times New Roman" w:eastAsia="Times New Roman" w:hAnsi="Times New Roman" w:cs="Times New Roman"/>
          <w:color w:val="000000"/>
          <w:spacing w:val="0"/>
          <w:w w:val="100"/>
          <w:position w:val="0"/>
          <w:shd w:val="clear" w:color="auto" w:fill="auto"/>
          <w:lang w:val="en-US" w:eastAsia="en-US" w:bidi="en-US"/>
        </w:rPr>
        <w:t>a of Dv</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rak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who ever afterwards remained their faithful friend and confidential adviser. Dh</w:t>
      </w:r>
      <w:r>
        <w:rPr>
          <w:rFonts w:ascii="Times New Roman" w:eastAsia="Times New Roman" w:hAnsi="Times New Roman" w:cs="Times New Roman"/>
          <w:color w:val="000000"/>
          <w:spacing w:val="0"/>
          <w:w w:val="100"/>
          <w:position w:val="0"/>
          <w:shd w:val="clear" w:color="auto" w:fill="auto"/>
          <w:lang w:val="en-US" w:eastAsia="en-US" w:bidi="en-US"/>
        </w:rPr>
        <w:t>ṛ</w:t>
      </w:r>
      <w:r>
        <w:rPr>
          <w:rFonts w:ascii="Times New Roman" w:eastAsia="Times New Roman" w:hAnsi="Times New Roman" w:cs="Times New Roman"/>
          <w:color w:val="000000"/>
          <w:spacing w:val="0"/>
          <w:w w:val="100"/>
          <w:position w:val="0"/>
          <w:shd w:val="clear" w:color="auto" w:fill="auto"/>
          <w:lang w:val="en-US" w:eastAsia="en-US" w:bidi="en-US"/>
        </w:rPr>
        <w:t>ita- 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ra now resolved to divide the kingdom between the two houses ; whereupon the P</w:t>
      </w:r>
      <w:r>
        <w:rPr>
          <w:rFonts w:ascii="Times New Roman" w:eastAsia="Times New Roman" w:hAnsi="Times New Roman" w:cs="Times New Roman"/>
          <w:color w:val="000000"/>
          <w:spacing w:val="0"/>
          <w:w w:val="100"/>
          <w:position w:val="0"/>
          <w:shd w:val="clear" w:color="auto" w:fill="auto"/>
          <w:lang w:val="en-US" w:eastAsia="en-US" w:bidi="en-US"/>
        </w:rPr>
        <w:t>āṇḍa</w:t>
      </w:r>
      <w:r>
        <w:rPr>
          <w:rFonts w:ascii="Times New Roman" w:eastAsia="Times New Roman" w:hAnsi="Times New Roman" w:cs="Times New Roman"/>
          <w:color w:val="000000"/>
          <w:spacing w:val="0"/>
          <w:w w:val="100"/>
          <w:position w:val="0"/>
          <w:shd w:val="clear" w:color="auto" w:fill="auto"/>
          <w:lang w:val="en-US" w:eastAsia="en-US" w:bidi="en-US"/>
        </w:rPr>
        <w:t>vas built for themselves the city of Indraprastha (on the site of the modern Delhi). After a time of great prosperity, Yudhish</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hira, in a game of dice, lost everything to Duryodhana, when it was settled that the P</w:t>
      </w:r>
      <w:r>
        <w:rPr>
          <w:rFonts w:ascii="Times New Roman" w:eastAsia="Times New Roman" w:hAnsi="Times New Roman" w:cs="Times New Roman"/>
          <w:color w:val="000000"/>
          <w:spacing w:val="0"/>
          <w:w w:val="100"/>
          <w:position w:val="0"/>
          <w:shd w:val="clear" w:color="auto" w:fill="auto"/>
          <w:lang w:val="en-US" w:eastAsia="en-US" w:bidi="en-US"/>
        </w:rPr>
        <w:t>āṇḍ</w:t>
      </w:r>
      <w:r>
        <w:rPr>
          <w:rFonts w:ascii="Times New Roman" w:eastAsia="Times New Roman" w:hAnsi="Times New Roman" w:cs="Times New Roman"/>
          <w:color w:val="000000"/>
          <w:spacing w:val="0"/>
          <w:w w:val="100"/>
          <w:position w:val="0"/>
          <w:shd w:val="clear" w:color="auto" w:fill="auto"/>
          <w:lang w:val="en-US" w:eastAsia="en-US" w:bidi="en-US"/>
        </w:rPr>
        <w:t>avas should retire to the forest for twelve years, but should afterwards be restored to their kingdom if they succeeded in passing an additional year in disguise, without being recognized by any one. During their forest-life they met with many adventures, among which may be mentioned their encounter with King Jayadratha of Chedi, who had carried off Draupadî from their hermitage. After the twelfth year had expired they leave the forest, and, assuming various disguises, take service at the court of King Viräta of Matsya. Here all goes well for a time till the queen’s brother Kïchaka, a great warrior and commander of the royal forces, falls in love with Draupadï, and is slain by Bhïma. The Kauravas, profiting by K</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chaka’s death, now invade the Matsyan kingdom, when the P</w:t>
      </w:r>
      <w:r>
        <w:rPr>
          <w:rFonts w:ascii="Times New Roman" w:eastAsia="Times New Roman" w:hAnsi="Times New Roman" w:cs="Times New Roman"/>
          <w:color w:val="000000"/>
          <w:spacing w:val="0"/>
          <w:w w:val="100"/>
          <w:position w:val="0"/>
          <w:shd w:val="clear" w:color="auto" w:fill="auto"/>
          <w:lang w:val="en-US" w:eastAsia="en-US" w:bidi="en-US"/>
        </w:rPr>
        <w:t>āṇḍ</w:t>
      </w:r>
      <w:r>
        <w:rPr>
          <w:rFonts w:ascii="Times New Roman" w:eastAsia="Times New Roman" w:hAnsi="Times New Roman" w:cs="Times New Roman"/>
          <w:color w:val="000000"/>
          <w:spacing w:val="0"/>
          <w:w w:val="100"/>
          <w:position w:val="0"/>
          <w:shd w:val="clear" w:color="auto" w:fill="auto"/>
          <w:lang w:val="en-US" w:eastAsia="en-US" w:bidi="en-US"/>
        </w:rPr>
        <w:t>avas side with King Viräta, and there ensues, on the field of Kurukshetra, during eighteen days, a series of fierce battles, ending in the annihilation of the Kauravas. Yudhish</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hira now at last becomes vuva-rãja, and eventually king— Dh</w:t>
      </w:r>
      <w:r>
        <w:rPr>
          <w:rFonts w:ascii="Times New Roman" w:eastAsia="Times New Roman" w:hAnsi="Times New Roman" w:cs="Times New Roman"/>
          <w:color w:val="000000"/>
          <w:spacing w:val="0"/>
          <w:w w:val="100"/>
          <w:position w:val="0"/>
          <w:shd w:val="clear" w:color="auto" w:fill="auto"/>
          <w:lang w:val="en-US" w:eastAsia="en-US" w:bidi="en-US"/>
        </w:rPr>
        <w:t>ṛi</w:t>
      </w:r>
      <w:r>
        <w:rPr>
          <w:rFonts w:ascii="Times New Roman" w:eastAsia="Times New Roman" w:hAnsi="Times New Roman" w:cs="Times New Roman"/>
          <w:color w:val="000000"/>
          <w:spacing w:val="0"/>
          <w:w w:val="100"/>
          <w:position w:val="0"/>
          <w:shd w:val="clear" w:color="auto" w:fill="auto"/>
          <w:lang w:val="en-US" w:eastAsia="en-US" w:bidi="en-US"/>
        </w:rPr>
        <w:t>tar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shtra having resigned and retired with his wife and Kunt</w:t>
      </w:r>
      <w:r>
        <w:rPr>
          <w:rFonts w:ascii="Times New Roman" w:eastAsia="Times New Roman" w:hAnsi="Times New Roman" w:cs="Times New Roman"/>
          <w:color w:val="000000"/>
          <w:spacing w:val="0"/>
          <w:w w:val="100"/>
          <w:position w:val="0"/>
          <w:shd w:val="clear" w:color="auto" w:fill="auto"/>
          <w:lang w:val="en-US" w:eastAsia="en-US" w:bidi="en-US"/>
        </w:rPr>
        <w:t xml:space="preserve">ī </w:t>
      </w:r>
      <w:r>
        <w:rPr>
          <w:rFonts w:ascii="Times New Roman" w:eastAsia="Times New Roman" w:hAnsi="Times New Roman" w:cs="Times New Roman"/>
          <w:color w:val="000000"/>
          <w:spacing w:val="0"/>
          <w:w w:val="100"/>
          <w:position w:val="0"/>
          <w:shd w:val="clear" w:color="auto" w:fill="auto"/>
          <w:lang w:val="en-US" w:eastAsia="en-US" w:bidi="en-US"/>
        </w:rPr>
        <w:t>to the forest, where they soon after perish in a conflagration. Learn</w:t>
        <w:softHyphen/>
        <w:t>ing also the death of Krishna, Yudhish</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hira himself at last becomes tired of life and resigns his crown; and the five princes, with their faithful wife, and a dog that joins them, set out for Mount Meru, to seek admission to Indra’s heaven. On the way one by one drops off, till Yudhish</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en-US" w:eastAsia="en-US" w:bidi="en-US"/>
        </w:rPr>
        <w:t>hira alone, with the dog, reaches the gate of heaven; but, the dog being refused admittance, the king declines entering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Text and a German translation published by R. </w:t>
      </w:r>
      <w:r>
        <w:rPr>
          <w:rFonts w:ascii="Times New Roman" w:eastAsia="Times New Roman" w:hAnsi="Times New Roman" w:cs="Times New Roman"/>
          <w:color w:val="000000"/>
          <w:spacing w:val="0"/>
          <w:w w:val="100"/>
          <w:position w:val="0"/>
          <w:shd w:val="clear" w:color="auto" w:fill="auto"/>
          <w:lang w:val="de-DE" w:eastAsia="de-DE" w:bidi="de-DE"/>
        </w:rPr>
        <w:t xml:space="preserve">Garbe </w:t>
      </w:r>
      <w:r>
        <w:rPr>
          <w:rFonts w:ascii="Times New Roman" w:eastAsia="Times New Roman" w:hAnsi="Times New Roman" w:cs="Times New Roman"/>
          <w:color w:val="000000"/>
          <w:spacing w:val="0"/>
          <w:w w:val="100"/>
          <w:position w:val="0"/>
          <w:shd w:val="clear" w:color="auto" w:fill="auto"/>
          <w:lang w:val="en-US" w:eastAsia="en-US" w:bidi="en-US"/>
        </w:rPr>
        <w:t>(1878); German trans. by W. Caland (1910).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difficult treatise has been published with extracts from commentaries by Professor Bloomfield. Two sections of it had been printed and translated by A. Weber, “ Omina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Portenta ” (1859).</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These tracts have been edited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M. Bolling and J. v. Negelein, part i. (1909).</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Edited and translated by W. D. Whitney.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For a full list of existing translations of and essays on the Upanishads, see lntrod. to Max Müller’s “ Upanishads,” </w:t>
      </w:r>
      <w:r>
        <w:rPr>
          <w:rFonts w:ascii="Times New Roman" w:eastAsia="Times New Roman" w:hAnsi="Times New Roman" w:cs="Times New Roman"/>
          <w:i/>
          <w:iCs/>
          <w:color w:val="000000"/>
          <w:spacing w:val="0"/>
          <w:w w:val="100"/>
          <w:position w:val="0"/>
          <w:shd w:val="clear" w:color="auto" w:fill="auto"/>
          <w:lang w:val="en-US" w:eastAsia="en-US" w:bidi="en-US"/>
        </w:rPr>
        <w:t>S.B.E.</w:t>
      </w:r>
      <w:r>
        <w:rPr>
          <w:rFonts w:ascii="Times New Roman" w:eastAsia="Times New Roman" w:hAnsi="Times New Roman" w:cs="Times New Roman"/>
          <w:color w:val="000000"/>
          <w:spacing w:val="0"/>
          <w:w w:val="100"/>
          <w:position w:val="0"/>
          <w:shd w:val="clear" w:color="auto" w:fill="auto"/>
          <w:lang w:val="en-US" w:eastAsia="en-US" w:bidi="en-US"/>
        </w:rPr>
        <w:t xml:space="preserve"> i. Cf. also P. Deussen,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Sechzig </w:t>
      </w:r>
      <w:r>
        <w:rPr>
          <w:rFonts w:ascii="Times New Roman" w:eastAsia="Times New Roman" w:hAnsi="Times New Roman" w:cs="Times New Roman"/>
          <w:i/>
          <w:iCs/>
          <w:color w:val="000000"/>
          <w:spacing w:val="0"/>
          <w:w w:val="100"/>
          <w:position w:val="0"/>
          <w:shd w:val="clear" w:color="auto" w:fill="auto"/>
          <w:lang w:val="en-US" w:eastAsia="en-US" w:bidi="en-US"/>
        </w:rPr>
        <w:t>Upanishads</w:t>
      </w:r>
      <w:r>
        <w:rPr>
          <w:rFonts w:ascii="Times New Roman" w:eastAsia="Times New Roman" w:hAnsi="Times New Roman" w:cs="Times New Roman"/>
          <w:color w:val="000000"/>
          <w:spacing w:val="0"/>
          <w:w w:val="100"/>
          <w:position w:val="0"/>
          <w:shd w:val="clear" w:color="auto" w:fill="auto"/>
          <w:lang w:val="en-US" w:eastAsia="en-US" w:bidi="en-US"/>
        </w:rPr>
        <w:t xml:space="preserve"> (1897).</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Three complete Indian editions, the handiest in 4 vols., includ</w:t>
        <w:softHyphen/>
        <w:t>ing the Hariva</w:t>
      </w:r>
      <w:r>
        <w:rPr>
          <w:rFonts w:ascii="Times New Roman" w:eastAsia="Times New Roman" w:hAnsi="Times New Roman" w:cs="Times New Roman"/>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sa (Calcutta, 1834-1839); a Bombay edition, with N</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laka</w:t>
      </w:r>
      <w:r>
        <w:rPr>
          <w:rFonts w:ascii="Times New Roman" w:eastAsia="Times New Roman" w:hAnsi="Times New Roman" w:cs="Times New Roman"/>
          <w:color w:val="000000"/>
          <w:spacing w:val="0"/>
          <w:w w:val="100"/>
          <w:position w:val="0"/>
          <w:shd w:val="clear" w:color="auto" w:fill="auto"/>
          <w:lang w:val="en-US" w:eastAsia="en-US" w:bidi="en-US"/>
        </w:rPr>
        <w:t>ṇṭ</w:t>
      </w:r>
      <w:r>
        <w:rPr>
          <w:rFonts w:ascii="Times New Roman" w:eastAsia="Times New Roman" w:hAnsi="Times New Roman" w:cs="Times New Roman"/>
          <w:color w:val="000000"/>
          <w:spacing w:val="0"/>
          <w:w w:val="100"/>
          <w:position w:val="0"/>
          <w:shd w:val="clear" w:color="auto" w:fill="auto"/>
          <w:lang w:val="en-US" w:eastAsia="en-US" w:bidi="en-US"/>
        </w:rPr>
        <w:t>ha’s commentary (1863); and a third, in Telugu characters, containing the Southern recension (Madras, 1855-1860). Another Southern edition, in N</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gar</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is now appearing at Bombay, edited by Krishnacharya and Vyasacharya of Kumbakonam. An English translation has been brought out at Calcutta by Pratap Chundra Roy (1883-1894); and another by M. N. Dutt (5 vols., Calcutta, 1896); whilst numerous episodes have been printed and translated by European scholars. For a critical analysis of this epic consult A. Boltzmann, </w:t>
      </w:r>
      <w:r>
        <w:rPr>
          <w:rFonts w:ascii="Times New Roman" w:eastAsia="Times New Roman" w:hAnsi="Times New Roman" w:cs="Times New Roman"/>
          <w:i/>
          <w:iCs/>
          <w:color w:val="000000"/>
          <w:spacing w:val="0"/>
          <w:w w:val="100"/>
          <w:position w:val="0"/>
          <w:shd w:val="clear" w:color="auto" w:fill="auto"/>
          <w:lang w:val="en-US" w:eastAsia="en-US" w:bidi="en-US"/>
        </w:rPr>
        <w:t>Das Mahabharata</w:t>
      </w:r>
      <w:r>
        <w:rPr>
          <w:rFonts w:ascii="Times New Roman" w:eastAsia="Times New Roman" w:hAnsi="Times New Roman" w:cs="Times New Roman"/>
          <w:color w:val="000000"/>
          <w:spacing w:val="0"/>
          <w:w w:val="100"/>
          <w:position w:val="0"/>
          <w:shd w:val="clear" w:color="auto" w:fill="auto"/>
          <w:lang w:val="en-US" w:eastAsia="en-US" w:bidi="en-US"/>
        </w:rPr>
        <w:t xml:space="preserve"> (4 vols., Kiel, 1892-1895); W. Hopkins, </w:t>
      </w:r>
      <w:r>
        <w:rPr>
          <w:rFonts w:ascii="Times New Roman" w:eastAsia="Times New Roman" w:hAnsi="Times New Roman" w:cs="Times New Roman"/>
          <w:i/>
          <w:iCs/>
          <w:color w:val="000000"/>
          <w:spacing w:val="0"/>
          <w:w w:val="100"/>
          <w:position w:val="0"/>
          <w:shd w:val="clear" w:color="auto" w:fill="auto"/>
          <w:lang w:val="en-US" w:eastAsia="en-US" w:bidi="en-US"/>
        </w:rPr>
        <w:t>The Great Epic of India</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1902).</w:t>
      </w:r>
    </w:p>
    <w:p>
      <w:pPr>
        <w:widowControl w:val="0"/>
        <w:spacing w:line="1" w:lineRule="exact"/>
      </w:pPr>
    </w:p>
    <w:sectPr>
      <w:footnotePr>
        <w:pos w:val="pageBottom"/>
        <w:numFmt w:val="decimal"/>
        <w:numRestart w:val="continuous"/>
      </w:footnotePr>
      <w:type w:val="continuous"/>
      <w:pgSz w:w="12240" w:h="15840"/>
      <w:pgMar w:top="847" w:left="757" w:right="1076" w:bottom="6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