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Oujein) in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544 and ante-dated by 600 years, falls to the ground; and with it Max Müller’s theory@@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an Indian Renaissance in- augurated during the reign of that king. Though Kãlidãsa’s date thus remains still uncertain, the probability is that he flourished at Ujjayini about 440-448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Of the principal poets of this class, whose works have come down to us, he appears to be one of the earliest; but there can be little doubt that he was preceded in this as in other departments of poetic composition by many lesser lights, eclipsed by the sun of his fame, and forgotten. Thus the recently discovered </w:t>
      </w:r>
      <w:r>
        <w:rPr>
          <w:rFonts w:ascii="Times New Roman" w:eastAsia="Times New Roman" w:hAnsi="Times New Roman" w:cs="Times New Roman"/>
          <w:i/>
          <w:iCs/>
          <w:color w:val="000000"/>
          <w:spacing w:val="0"/>
          <w:w w:val="100"/>
          <w:position w:val="0"/>
          <w:shd w:val="clear" w:color="auto" w:fill="auto"/>
          <w:lang w:val="en-US" w:eastAsia="en-US" w:bidi="en-US"/>
        </w:rPr>
        <w:t>Buddhacharita,@@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Sanskrit poem on the life of the reformer, which was translated into Chinese about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420, and the author of which, Asvaghosha, is placed by Buddhist tradition as early as the time of Kanishka (who began to reign in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78), calls itself, not without reason, a “mahãkãvya”; and the panegyrics contained in some of the inscriptions of the 4th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likewise display, both in verse and ornate prose, many of the characteristic features of the kãvya style of composition. Indeed, a_ number of quotations in the Mahãbhãshya,@@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commentary on Pãnini, go far to show that the kãvya style was already cultivated at the time of Patanjali, whose date can hardly be placed later than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of the Christian era, though it may, and probably does, go back to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tabs>
          <w:tab w:pos="447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six universally recognized “ great poems ” here enumerated the first two, and doubtless the two finest, are those attributed to Kãlidãsa. (1) The </w:t>
      </w:r>
      <w:r>
        <w:rPr>
          <w:rFonts w:ascii="Times New Roman" w:eastAsia="Times New Roman" w:hAnsi="Times New Roman" w:cs="Times New Roman"/>
          <w:i/>
          <w:iCs/>
          <w:color w:val="000000"/>
          <w:spacing w:val="0"/>
          <w:w w:val="100"/>
          <w:position w:val="0"/>
          <w:shd w:val="clear" w:color="auto" w:fill="auto"/>
          <w:lang w:val="en-US" w:eastAsia="en-US" w:bidi="en-US"/>
        </w:rPr>
        <w:t>Raghuvamsa,@@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or “ race of Raghu,” celebrates the ancestry and deeds of Räma. The work, consisting of nineteen cantos, is manifestly incomplete; but hitherto no copy has been discovered of the six additional cantos which are supposed to have completed it. (2) The </w:t>
      </w:r>
      <w:r>
        <w:rPr>
          <w:rFonts w:ascii="Times New Roman" w:eastAsia="Times New Roman" w:hAnsi="Times New Roman" w:cs="Times New Roman"/>
          <w:i/>
          <w:iCs/>
          <w:color w:val="000000"/>
          <w:spacing w:val="0"/>
          <w:w w:val="100"/>
          <w:position w:val="0"/>
          <w:shd w:val="clear" w:color="auto" w:fill="auto"/>
          <w:lang w:val="en-US" w:eastAsia="en-US" w:bidi="en-US"/>
        </w:rPr>
        <w:t>Kumαrα-sαmbhαυα,@@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or “ the birth of (the war-god) Kumãra ” (or Skanda), the son of Siva and Pärvatï, con- sists of seventeen cantos, the last ten of which were, however, not commented upon by Mallinãtha, and are usually omitted in the MSS. ; whence they are still looked upon as spurious by many scholars, though they may only have been set aside on account of their amorous character rendering them unsuitable for educational purposes, for which the works of Kãlidãsa are extensively used in India; the 8th canto, at any rate, being quoted by Vamana (c.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700). Another poem of this class, the </w:t>
      </w:r>
      <w:r>
        <w:rPr>
          <w:rFonts w:ascii="Times New Roman" w:eastAsia="Times New Roman" w:hAnsi="Times New Roman" w:cs="Times New Roman"/>
          <w:i/>
          <w:iCs/>
          <w:color w:val="000000"/>
          <w:spacing w:val="0"/>
          <w:w w:val="100"/>
          <w:position w:val="0"/>
          <w:shd w:val="clear" w:color="auto" w:fill="auto"/>
          <w:lang w:val="en-US" w:eastAsia="en-US" w:bidi="en-US"/>
        </w:rPr>
        <w:t>Nαlodαyα@@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or "rise of Nala ” —describing the restoration of that king, after having lost his kingdom through gambling—is wrongly ascribed to Kalidasa, being far inferior to the other works, and of a much more artificial character. (3) The </w:t>
      </w:r>
      <w:r>
        <w:rPr>
          <w:rFonts w:ascii="Times New Roman" w:eastAsia="Times New Roman" w:hAnsi="Times New Roman" w:cs="Times New Roman"/>
          <w:i/>
          <w:iCs/>
          <w:color w:val="000000"/>
          <w:spacing w:val="0"/>
          <w:w w:val="100"/>
          <w:position w:val="0"/>
          <w:shd w:val="clear" w:color="auto" w:fill="auto"/>
          <w:lang w:val="en-US" w:eastAsia="en-US" w:bidi="en-US"/>
        </w:rPr>
        <w:t>Kirãtärjuniyä,@@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or combat between the Pandava prince Arjuna and the god Siva, in the guise of a Kirãta or wild moun</w:t>
        <w:softHyphen/>
        <w:t xml:space="preserve">taineer, is a poem in eighteen cantos, by Bhãravi, who is mentioned together with Kãlidãsa in an inscription dated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634.</w:t>
        <w:tab/>
        <w:t>(4)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Sisupala-badha,</w:t>
      </w:r>
      <w:r>
        <w:rPr>
          <w:rFonts w:ascii="Times New Roman" w:eastAsia="Times New Roman" w:hAnsi="Times New Roman" w:cs="Times New Roman"/>
          <w:color w:val="000000"/>
          <w:spacing w:val="0"/>
          <w:w w:val="100"/>
          <w:position w:val="0"/>
          <w:shd w:val="clear" w:color="auto" w:fill="auto"/>
          <w:lang w:val="en-US" w:eastAsia="en-US" w:bidi="en-US"/>
        </w:rPr>
        <w:t xml:space="preserve"> or slaying of Sisupãla, who, being a prince of Chedi, reviled Krishna, who had carried off his intended wife, and was killed by him at the inauguration sacrifice of Yudhishthira, is a poem consisting of twenty cantos, attributed to Mägha,@@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Mαghαkαvyα.</w:t>
      </w:r>
      <w:r>
        <w:rPr>
          <w:rFonts w:ascii="Times New Roman" w:eastAsia="Times New Roman" w:hAnsi="Times New Roman" w:cs="Times New Roman"/>
          <w:color w:val="000000"/>
          <w:spacing w:val="0"/>
          <w:w w:val="100"/>
          <w:position w:val="0"/>
          <w:shd w:val="clear" w:color="auto" w:fill="auto"/>
          <w:lang w:val="en-US" w:eastAsia="en-US" w:bidi="en-US"/>
        </w:rPr>
        <w:t xml:space="preserve"> (5) The </w:t>
      </w:r>
      <w:r>
        <w:rPr>
          <w:rFonts w:ascii="Times New Roman" w:eastAsia="Times New Roman" w:hAnsi="Times New Roman" w:cs="Times New Roman"/>
          <w:i/>
          <w:iCs/>
          <w:color w:val="000000"/>
          <w:spacing w:val="0"/>
          <w:w w:val="100"/>
          <w:position w:val="0"/>
          <w:shd w:val="clear" w:color="auto" w:fill="auto"/>
          <w:lang w:val="en-US" w:eastAsia="en-US" w:bidi="en-US"/>
        </w:rPr>
        <w:t>Rαvαnαbαdhα,</w:t>
      </w:r>
      <w:r>
        <w:rPr>
          <w:rFonts w:ascii="Times New Roman" w:eastAsia="Times New Roman" w:hAnsi="Times New Roman" w:cs="Times New Roman"/>
          <w:color w:val="000000"/>
          <w:spacing w:val="0"/>
          <w:w w:val="100"/>
          <w:position w:val="0"/>
          <w:shd w:val="clear" w:color="auto" w:fill="auto"/>
          <w:lang w:val="en-US" w:eastAsia="en-US" w:bidi="en-US"/>
        </w:rPr>
        <w:t xml:space="preserve"> or “slaying of Rãvana,” more commonly called </w:t>
      </w:r>
      <w:r>
        <w:rPr>
          <w:rFonts w:ascii="Times New Roman" w:eastAsia="Times New Roman" w:hAnsi="Times New Roman" w:cs="Times New Roman"/>
          <w:i/>
          <w:iCs/>
          <w:color w:val="000000"/>
          <w:spacing w:val="0"/>
          <w:w w:val="100"/>
          <w:position w:val="0"/>
          <w:shd w:val="clear" w:color="auto" w:fill="auto"/>
          <w:lang w:val="en-US" w:eastAsia="en-US" w:bidi="en-US"/>
        </w:rPr>
        <w:t>Βhαttikαυyα,</w:t>
      </w:r>
      <w:r>
        <w:rPr>
          <w:rFonts w:ascii="Times New Roman" w:eastAsia="Times New Roman" w:hAnsi="Times New Roman" w:cs="Times New Roman"/>
          <w:color w:val="000000"/>
          <w:spacing w:val="0"/>
          <w:w w:val="100"/>
          <w:position w:val="0"/>
          <w:shd w:val="clear" w:color="auto" w:fill="auto"/>
          <w:lang w:val="en-US" w:eastAsia="en-US" w:bidi="en-US"/>
        </w:rPr>
        <w:t xml:space="preserve"> to distinguish it from other poems (especially one by Pravarasena), likewise bearing the former title, was composed for the practical purpose oí illustrating the less common grammatical forms and the figures of rhetoric and poetry. In its closing couplet it professes to have been written at Vallabhï, under Sridharasena, but, several princes of that name being mentioned in inscriptions as having ruled there in the 6th and 7th centuries, its exact date is still uncertain. Bhatti, apparently the author’s name, is usually identified with the well-known grammarian Bhartrihari, whose death Professor M. Müller, from a Chinese statement, fixes at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650, while others make him Bhartrihari’s son. (6) The </w:t>
      </w:r>
      <w:r>
        <w:rPr>
          <w:rFonts w:ascii="Times New Roman" w:eastAsia="Times New Roman" w:hAnsi="Times New Roman" w:cs="Times New Roman"/>
          <w:i/>
          <w:iCs/>
          <w:color w:val="000000"/>
          <w:spacing w:val="0"/>
          <w:w w:val="100"/>
          <w:position w:val="0"/>
          <w:shd w:val="clear" w:color="auto" w:fill="auto"/>
          <w:lang w:val="en-US" w:eastAsia="en-US" w:bidi="en-US"/>
        </w:rPr>
        <w:t>Naishadhïya,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Nαishαdhα-chαritα,</w:t>
      </w:r>
      <w:r>
        <w:rPr>
          <w:rFonts w:ascii="Times New Roman" w:eastAsia="Times New Roman" w:hAnsi="Times New Roman" w:cs="Times New Roman"/>
          <w:color w:val="000000"/>
          <w:spacing w:val="0"/>
          <w:w w:val="100"/>
          <w:position w:val="0"/>
          <w:shd w:val="clear" w:color="auto" w:fill="auto"/>
          <w:lang w:val="en-US" w:eastAsia="en-US" w:bidi="en-US"/>
        </w:rPr>
        <w:t xml:space="preserve"> the life of Nala, king of Nishadha, is ascribed to Srï-Harsha (son oí Hira), who is supposed to have lived in the latter part of the 12th century. A small portion of the simple and noble episode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Mahabharata </w:t>
      </w:r>
      <w:r>
        <w:rPr>
          <w:rFonts w:ascii="Times New Roman" w:eastAsia="Times New Roman" w:hAnsi="Times New Roman" w:cs="Times New Roman"/>
          <w:color w:val="000000"/>
          <w:spacing w:val="0"/>
          <w:w w:val="100"/>
          <w:position w:val="0"/>
          <w:shd w:val="clear" w:color="auto" w:fill="auto"/>
          <w:lang w:val="en-US" w:eastAsia="en-US" w:bidi="en-US"/>
        </w:rPr>
        <w:t xml:space="preserve">is here retold in highly elaborate and polished stanzas, and with a degree of lasciviousness which (unless it be chiefly due to the poet’s exuberance of fancy) gives a truly appalling picture oí social corruption. Another highly esteemed poem,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Räghava-päwIawya, </w:t>
      </w:r>
      <w:r>
        <w:rPr>
          <w:rFonts w:ascii="Times New Roman" w:eastAsia="Times New Roman" w:hAnsi="Times New Roman" w:cs="Times New Roman"/>
          <w:color w:val="000000"/>
          <w:spacing w:val="0"/>
          <w:w w:val="100"/>
          <w:position w:val="0"/>
          <w:shd w:val="clear" w:color="auto" w:fill="auto"/>
          <w:lang w:val="en-US" w:eastAsia="en-US" w:bidi="en-US"/>
        </w:rPr>
        <w:t>composed by Kaviräja ("king of poets ”)—whose date is uncertain,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scholars placing him about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800, others later than </w:t>
      </w:r>
      <w:r>
        <w:rPr>
          <w:rFonts w:ascii="Times New Roman" w:eastAsia="Times New Roman" w:hAnsi="Times New Roman" w:cs="Times New Roman"/>
          <w:color w:val="000000"/>
          <w:spacing w:val="0"/>
          <w:w w:val="100"/>
          <w:position w:val="0"/>
          <w:shd w:val="clear" w:color="auto" w:fill="auto"/>
          <w:lang w:val="en-US" w:eastAsia="en-US" w:bidi="en-US"/>
        </w:rPr>
        <w:t>the 10</w:t>
      </w:r>
      <w:r>
        <w:rPr>
          <w:rFonts w:ascii="Times New Roman" w:eastAsia="Times New Roman" w:hAnsi="Times New Roman" w:cs="Times New Roman"/>
          <w:color w:val="000000"/>
          <w:spacing w:val="0"/>
          <w:w w:val="100"/>
          <w:position w:val="0"/>
          <w:shd w:val="clear" w:color="auto" w:fill="auto"/>
          <w:lang w:val="en-US" w:eastAsia="en-US" w:bidi="en-US"/>
        </w:rPr>
        <w:t xml:space="preserve">th century—is characteristic of the trifling uses to which the poet’s art was put. The well-turned stanzas are so ambiguously worded that the poem may be interpreted as relating to the leading story of either the </w:t>
      </w:r>
      <w:r>
        <w:rPr>
          <w:rFonts w:ascii="Times New Roman" w:eastAsia="Times New Roman" w:hAnsi="Times New Roman" w:cs="Times New Roman"/>
          <w:i/>
          <w:iCs/>
          <w:color w:val="000000"/>
          <w:spacing w:val="0"/>
          <w:w w:val="100"/>
          <w:position w:val="0"/>
          <w:shd w:val="clear" w:color="auto" w:fill="auto"/>
          <w:lang w:val="en-US" w:eastAsia="en-US" w:bidi="en-US"/>
        </w:rPr>
        <w:t>Rãmãyana</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Mahabharata.</w:t>
      </w:r>
      <w:r>
        <w:rPr>
          <w:rFonts w:ascii="Times New Roman" w:eastAsia="Times New Roman" w:hAnsi="Times New Roman" w:cs="Times New Roman"/>
          <w:color w:val="000000"/>
          <w:spacing w:val="0"/>
          <w:w w:val="100"/>
          <w:position w:val="0"/>
          <w:shd w:val="clear" w:color="auto" w:fill="auto"/>
          <w:lang w:val="en-US" w:eastAsia="en-US" w:bidi="en-US"/>
        </w:rPr>
        <w:t xml:space="preserve"> Less ambitious in composition, though styling itself a mahãkãvya, is the </w:t>
      </w:r>
      <w:r>
        <w:rPr>
          <w:rFonts w:ascii="Times New Roman" w:eastAsia="Times New Roman" w:hAnsi="Times New Roman" w:cs="Times New Roman"/>
          <w:i/>
          <w:iCs/>
          <w:color w:val="000000"/>
          <w:spacing w:val="0"/>
          <w:w w:val="100"/>
          <w:position w:val="0"/>
          <w:shd w:val="clear" w:color="auto" w:fill="auto"/>
          <w:lang w:val="en-US" w:eastAsia="en-US" w:bidi="en-US"/>
        </w:rPr>
        <w:t>Vikramãnka-devaeharita,@@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 panegyric written about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1085 by the Kashmir poet Bilhana, in honour oí his patron the Chälukya king Vikra- mãditya of Kalyãna, regarding the history of whose dynasty it supplies some valuable information.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place may also be mentioned, as composed in accordance with the Hindu poetic canon, the </w:t>
      </w:r>
      <w:r>
        <w:rPr>
          <w:rFonts w:ascii="Times New Roman" w:eastAsia="Times New Roman" w:hAnsi="Times New Roman" w:cs="Times New Roman"/>
          <w:i/>
          <w:iCs/>
          <w:color w:val="000000"/>
          <w:spacing w:val="0"/>
          <w:w w:val="100"/>
          <w:position w:val="0"/>
          <w:shd w:val="clear" w:color="auto" w:fill="auto"/>
          <w:lang w:val="en-US" w:eastAsia="en-US" w:bidi="en-US"/>
        </w:rPr>
        <w:t>Rãjatarangini@@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or “ river of kings,” being a chronicle of the kings of Kashmir, and the only important historical work in the Sanskrit language, though even here considerable allowance has to be made for poetic licence and fancy. The work was composed by the Kashmirian poet Kalhana about 1150, and was afterwards continued by three successive supplements, bringing down the history of Kashmir to the time of the emperor Akbar. Worthy of mention, in this place, are also two works on the life of Buddha, which may go back to the 1st century of the Christian era, viz. the </w:t>
      </w:r>
      <w:r>
        <w:rPr>
          <w:rFonts w:ascii="Times New Roman" w:eastAsia="Times New Roman" w:hAnsi="Times New Roman" w:cs="Times New Roman"/>
          <w:i/>
          <w:iCs/>
          <w:color w:val="000000"/>
          <w:spacing w:val="0"/>
          <w:w w:val="100"/>
          <w:position w:val="0"/>
          <w:shd w:val="clear" w:color="auto" w:fill="auto"/>
          <w:lang w:val="en-US" w:eastAsia="en-US" w:bidi="en-US"/>
        </w:rPr>
        <w:t>Lalitaυistara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Mahavastu,@@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written in fairly correct Sanskrit prose mixed with stanzas (gãthã) composed in a hybrid, half Präkrit, half Sanskrit form of language.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general term “ kâvya ” Indian critics include, however, not only compositions in verse, but also certain kinds of prose works composed in choice diction richly embellished with flowers of rhetoric. The feature generally regarded by writers on poetics as the chief mark of excellence in this ornate prose style is the frequency and length of its compounds; whilst for metrical compositions the use of long compounds is expressly discouraged by some schools of rhetoric. Moreover, the best specimens of this class of prose writing are not devoid of a certain musical cadence adapting itself to the nature of the subject treated. Amongst the works of this class the most interesting are four so-called </w:t>
      </w:r>
      <w:r>
        <w:rPr>
          <w:rFonts w:ascii="Times New Roman" w:eastAsia="Times New Roman" w:hAnsi="Times New Roman" w:cs="Times New Roman"/>
          <w:i/>
          <w:iCs/>
          <w:color w:val="000000"/>
          <w:spacing w:val="0"/>
          <w:w w:val="100"/>
          <w:position w:val="0"/>
          <w:shd w:val="clear" w:color="auto" w:fill="auto"/>
          <w:lang w:val="en-US" w:eastAsia="en-US" w:bidi="en-US"/>
        </w:rPr>
        <w:t>kathãs</w:t>
      </w:r>
      <w:r>
        <w:rPr>
          <w:rFonts w:ascii="Times New Roman" w:eastAsia="Times New Roman" w:hAnsi="Times New Roman" w:cs="Times New Roman"/>
          <w:color w:val="000000"/>
          <w:spacing w:val="0"/>
          <w:w w:val="100"/>
          <w:position w:val="0"/>
          <w:shd w:val="clear" w:color="auto" w:fill="auto"/>
          <w:lang w:val="en-US" w:eastAsia="en-US" w:bidi="en-US"/>
        </w:rPr>
        <w:t xml:space="preserve"> (tales)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äkhyäyikãs </w:t>
      </w:r>
      <w:r>
        <w:rPr>
          <w:rFonts w:ascii="Times New Roman" w:eastAsia="Times New Roman" w:hAnsi="Times New Roman" w:cs="Times New Roman"/>
          <w:color w:val="000000"/>
          <w:spacing w:val="0"/>
          <w:w w:val="100"/>
          <w:position w:val="0"/>
          <w:shd w:val="clear" w:color="auto" w:fill="auto"/>
          <w:lang w:val="en-US" w:eastAsia="en-US" w:bidi="en-US"/>
        </w:rPr>
        <w:t xml:space="preserve">(novels). The oldest of these is the </w:t>
      </w:r>
      <w:r>
        <w:rPr>
          <w:rFonts w:ascii="Times New Roman" w:eastAsia="Times New Roman" w:hAnsi="Times New Roman" w:cs="Times New Roman"/>
          <w:i/>
          <w:iCs/>
          <w:color w:val="000000"/>
          <w:spacing w:val="0"/>
          <w:w w:val="100"/>
          <w:position w:val="0"/>
          <w:shd w:val="clear" w:color="auto" w:fill="auto"/>
          <w:lang w:val="en-US" w:eastAsia="en-US" w:bidi="en-US"/>
        </w:rPr>
        <w:t>Daéakumãracharita,@@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or "adventures of the ten princes ”—a vivid, though probably exaggerated, picture of low-class city life—by Dandin, the author of an excellent manual of poetics, the Kãvyãdarsa, who most likely lived in the 6th century. Probably early in the 7th century, Subandhu composed his tale </w:t>
      </w:r>
      <w:r>
        <w:rPr>
          <w:rFonts w:ascii="Times New Roman" w:eastAsia="Times New Roman" w:hAnsi="Times New Roman" w:cs="Times New Roman"/>
          <w:i/>
          <w:iCs/>
          <w:color w:val="000000"/>
          <w:spacing w:val="0"/>
          <w:w w:val="100"/>
          <w:position w:val="0"/>
          <w:shd w:val="clear" w:color="auto" w:fill="auto"/>
          <w:lang w:val="en-US" w:eastAsia="en-US" w:bidi="en-US"/>
        </w:rPr>
        <w:t>Vãsaoadattä,@@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taking its name from a princess of Ujjayinï (Oujein), who in a dream fell in love with Udayana, king of Vatsa, and, on the latter being decoyed to that city and kept in captivity by her father, was carried off by him from a rival suitor. The remaining two works were composed by Bana, the court poet of King Harshavardhana oí Thãnesar and Kanauj—who ruled over the whole of northern lndia,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606-648, and at whose court the Chinese pilgrim Hiuen Thsang resided for some time during his sojourn in India (630-646)—viz. the Kädambarî,@@</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a romantic tale of a princess of that name; and the apparently never completed </w:t>
      </w:r>
      <w:r>
        <w:rPr>
          <w:rFonts w:ascii="Times New Roman" w:eastAsia="Times New Roman" w:hAnsi="Times New Roman" w:cs="Times New Roman"/>
          <w:i/>
          <w:iCs/>
          <w:color w:val="000000"/>
          <w:spacing w:val="0"/>
          <w:w w:val="100"/>
          <w:position w:val="0"/>
          <w:shd w:val="clear" w:color="auto" w:fill="auto"/>
          <w:lang w:val="en-US" w:eastAsia="en-US" w:bidi="en-US"/>
        </w:rPr>
        <w:t>Harshacharita@@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intended as an historical novel, but practically a panegyric </w:t>
      </w:r>
      <w:r>
        <w:rPr>
          <w:rFonts w:ascii="Times New Roman" w:eastAsia="Times New Roman" w:hAnsi="Times New Roman" w:cs="Times New Roman"/>
          <w:i/>
          <w:iCs/>
          <w:color w:val="000000"/>
          <w:spacing w:val="0"/>
          <w:w w:val="100"/>
          <w:position w:val="0"/>
          <w:shd w:val="clear" w:color="auto" w:fill="auto"/>
          <w:lang w:val="en-US" w:eastAsia="en-US" w:bidi="en-US"/>
        </w:rPr>
        <w:t>(prasasti)</w:t>
      </w:r>
      <w:r>
        <w:rPr>
          <w:rFonts w:ascii="Times New Roman" w:eastAsia="Times New Roman" w:hAnsi="Times New Roman" w:cs="Times New Roman"/>
          <w:color w:val="000000"/>
          <w:spacing w:val="0"/>
          <w:w w:val="100"/>
          <w:position w:val="0"/>
          <w:shd w:val="clear" w:color="auto" w:fill="auto"/>
          <w:lang w:val="en-US" w:eastAsia="en-US" w:bidi="en-US"/>
        </w:rPr>
        <w:t xml:space="preserve"> in favour of the poet’s patron, supplying, however, a valuable picture of the life of the time. Whilst these tales have occasionally stanzas introduced into them, this feature of mixed (misra) verse and prose is especially prominent in another popular class of romances, the so-called </w:t>
      </w:r>
      <w:r>
        <w:rPr>
          <w:rFonts w:ascii="Times New Roman" w:eastAsia="Times New Roman" w:hAnsi="Times New Roman" w:cs="Times New Roman"/>
          <w:i/>
          <w:iCs/>
          <w:color w:val="000000"/>
          <w:spacing w:val="0"/>
          <w:w w:val="100"/>
          <w:position w:val="0"/>
          <w:shd w:val="clear" w:color="auto" w:fill="auto"/>
          <w:lang w:val="en-US" w:eastAsia="en-US" w:bidi="en-US"/>
        </w:rPr>
        <w:t>Champus.</w:t>
      </w:r>
      <w:r>
        <w:rPr>
          <w:rFonts w:ascii="Times New Roman" w:eastAsia="Times New Roman" w:hAnsi="Times New Roman" w:cs="Times New Roman"/>
          <w:color w:val="000000"/>
          <w:spacing w:val="0"/>
          <w:w w:val="100"/>
          <w:position w:val="0"/>
          <w:shd w:val="clear" w:color="auto" w:fill="auto"/>
          <w:lang w:val="en-US" w:eastAsia="en-US" w:bidi="en-US"/>
        </w:rPr>
        <w:t xml:space="preserve"> Of such works, which seem to have been rather numerous, it must suffice to mention two specimens, viz. the </w:t>
      </w:r>
      <w:r>
        <w:rPr>
          <w:rFonts w:ascii="Times New Roman" w:eastAsia="Times New Roman" w:hAnsi="Times New Roman" w:cs="Times New Roman"/>
          <w:i/>
          <w:iCs/>
          <w:color w:val="000000"/>
          <w:spacing w:val="0"/>
          <w:w w:val="100"/>
          <w:position w:val="0"/>
          <w:shd w:val="clear" w:color="auto" w:fill="auto"/>
          <w:lang w:val="en-US" w:eastAsia="en-US" w:bidi="en-US"/>
        </w:rPr>
        <w:t>Bhãrata-champü,</w:t>
      </w:r>
      <w:r>
        <w:rPr>
          <w:rFonts w:ascii="Times New Roman" w:eastAsia="Times New Roman" w:hAnsi="Times New Roman" w:cs="Times New Roman"/>
          <w:color w:val="000000"/>
          <w:spacing w:val="0"/>
          <w:w w:val="100"/>
          <w:position w:val="0"/>
          <w:shd w:val="clear" w:color="auto" w:fill="auto"/>
          <w:lang w:val="en-US" w:eastAsia="en-US" w:bidi="en-US"/>
        </w:rPr>
        <w:t xml:space="preserve"> in twelve cantos, by Ananta Bhatta; and the </w:t>
      </w:r>
      <w:r>
        <w:rPr>
          <w:rFonts w:ascii="Times New Roman" w:eastAsia="Times New Roman" w:hAnsi="Times New Roman" w:cs="Times New Roman"/>
          <w:i/>
          <w:iCs/>
          <w:color w:val="000000"/>
          <w:spacing w:val="0"/>
          <w:w w:val="100"/>
          <w:position w:val="0"/>
          <w:shd w:val="clear" w:color="auto" w:fill="auto"/>
          <w:lang w:val="en-US" w:eastAsia="en-US" w:bidi="en-US"/>
        </w:rPr>
        <w:t>Champü-rãmãyana,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Bhoja-champü,</w:t>
      </w:r>
      <w:r>
        <w:rPr>
          <w:rFonts w:ascii="Times New Roman" w:eastAsia="Times New Roman" w:hAnsi="Times New Roman" w:cs="Times New Roman"/>
          <w:color w:val="000000"/>
          <w:spacing w:val="0"/>
          <w:w w:val="100"/>
          <w:position w:val="0"/>
          <w:shd w:val="clear" w:color="auto" w:fill="auto"/>
          <w:lang w:val="en-US" w:eastAsia="en-US" w:bidi="en-US"/>
        </w:rPr>
        <w:t xml:space="preserve"> in seven books, the first five of which are attributed, doubtless by way of compliment, to King Bhojarãja of Dhãrä.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The Drama.@@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—The early history of the Indian drama is enveloped in obscurity. The Hindus themselves ascribe the origin of dramatic representation to the </w:t>
      </w:r>
      <w:r>
        <w:rPr>
          <w:rFonts w:ascii="Times New Roman" w:eastAsia="Times New Roman" w:hAnsi="Times New Roman" w:cs="Times New Roman"/>
          <w:color w:val="000000"/>
          <w:spacing w:val="0"/>
          <w:w w:val="100"/>
          <w:position w:val="0"/>
          <w:shd w:val="clear" w:color="auto" w:fill="auto"/>
          <w:lang w:val="fr-FR" w:eastAsia="fr-FR" w:bidi="fr-FR"/>
        </w:rPr>
        <w:t xml:space="preserve">sage Bharata, </w:t>
      </w:r>
      <w:r>
        <w:rPr>
          <w:rFonts w:ascii="Times New Roman" w:eastAsia="Times New Roman" w:hAnsi="Times New Roman" w:cs="Times New Roman"/>
          <w:color w:val="000000"/>
          <w:spacing w:val="0"/>
          <w:w w:val="100"/>
          <w:position w:val="0"/>
          <w:shd w:val="clear" w:color="auto" w:fill="auto"/>
          <w:lang w:val="en-US" w:eastAsia="en-US" w:bidi="en-US"/>
        </w:rPr>
        <w:t xml:space="preserve">who is fabled to have lived in remote antiquity, and to have received this science directly from the god Brahman, by whom it was extracted from the Veda. The term </w:t>
      </w:r>
      <w:r>
        <w:rPr>
          <w:rFonts w:ascii="Times New Roman" w:eastAsia="Times New Roman" w:hAnsi="Times New Roman" w:cs="Times New Roman"/>
          <w:i/>
          <w:iCs/>
          <w:color w:val="000000"/>
          <w:spacing w:val="0"/>
          <w:w w:val="100"/>
          <w:position w:val="0"/>
          <w:shd w:val="clear" w:color="auto" w:fill="auto"/>
          <w:lang w:val="en-US" w:eastAsia="en-US" w:bidi="en-US"/>
        </w:rPr>
        <w:t>bharata—(?) 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who is kept, or one who sustains( a part)—also signifies “ an actor ”; but it is doubtful which of the two is the earlier—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Propounded in Note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of his </w:t>
      </w:r>
      <w:r>
        <w:rPr>
          <w:rFonts w:ascii="Times New Roman" w:eastAsia="Times New Roman" w:hAnsi="Times New Roman" w:cs="Times New Roman"/>
          <w:i/>
          <w:iCs/>
          <w:color w:val="000000"/>
          <w:spacing w:val="0"/>
          <w:w w:val="100"/>
          <w:position w:val="0"/>
          <w:shd w:val="clear" w:color="auto" w:fill="auto"/>
          <w:lang w:val="en-US" w:eastAsia="en-US" w:bidi="en-US"/>
        </w:rPr>
        <w:t>India, What can it Teach Us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 by E. B. Cowell (Oxford, 1893); trans. by the same, </w:t>
      </w:r>
      <w:r>
        <w:rPr>
          <w:rFonts w:ascii="Times New Roman" w:eastAsia="Times New Roman" w:hAnsi="Times New Roman" w:cs="Times New Roman"/>
          <w:i/>
          <w:iCs/>
          <w:color w:val="000000"/>
          <w:spacing w:val="0"/>
          <w:w w:val="100"/>
          <w:position w:val="0"/>
          <w:shd w:val="clear" w:color="auto" w:fill="auto"/>
          <w:lang w:val="en-US" w:eastAsia="en-US" w:bidi="en-US"/>
        </w:rPr>
        <w:t>S.Β.E.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G. Biihler, “ Die </w:t>
      </w:r>
      <w:r>
        <w:rPr>
          <w:rFonts w:ascii="Times New Roman" w:eastAsia="Times New Roman" w:hAnsi="Times New Roman" w:cs="Times New Roman"/>
          <w:color w:val="000000"/>
          <w:spacing w:val="0"/>
          <w:w w:val="100"/>
          <w:position w:val="0"/>
          <w:shd w:val="clear" w:color="auto" w:fill="auto"/>
          <w:lang w:val="de-DE" w:eastAsia="de-DE" w:bidi="de-DE"/>
        </w:rPr>
        <w:t xml:space="preserve">indischen Inschriften und das Alter der indischen Kunstpoesie,”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Sitzungsber. Imp. </w:t>
      </w:r>
      <w:r>
        <w:rPr>
          <w:rFonts w:ascii="Times New Roman" w:eastAsia="Times New Roman" w:hAnsi="Times New Roman" w:cs="Times New Roman"/>
          <w:i/>
          <w:iCs/>
          <w:color w:val="000000"/>
          <w:spacing w:val="0"/>
          <w:w w:val="100"/>
          <w:position w:val="0"/>
          <w:shd w:val="clear" w:color="auto" w:fill="auto"/>
          <w:lang w:val="en-US" w:eastAsia="en-US" w:bidi="en-US"/>
        </w:rPr>
        <w:t>Ac.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(Vienna, </w:t>
      </w:r>
      <w:r>
        <w:rPr>
          <w:rFonts w:ascii="Times New Roman" w:eastAsia="Times New Roman" w:hAnsi="Times New Roman" w:cs="Times New Roman"/>
          <w:color w:val="000000"/>
          <w:spacing w:val="0"/>
          <w:w w:val="100"/>
          <w:position w:val="0"/>
          <w:shd w:val="clear" w:color="auto" w:fill="auto"/>
          <w:lang w:val="en-US" w:eastAsia="en-US" w:bidi="en-US"/>
        </w:rPr>
        <w:t>1890).</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Collected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Kielhorn;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Ind.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16.</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 Latin trans. by F. Stenzler; also text, with commentary,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P. Pandit; also repeatedly in India with and without translation.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Text and Latin trans. of cantos 1-7 published by F. Stenzler; an English trans. by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T. H. Griffith; also several Indian editions, with comm.</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Text with comm. and Latin trans., edited by F. Benary; with Eng. trans., in verse, by W. Yates; also repeatedly ed. in India.</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Editions of this and the three following poems have been published in India.</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Mägha probably lived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9th century, though Bháo Dáji, in his paper on Kãlidãsa, would make him “a contemporary of the Bhoja of the 11th century.”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G. Bühler.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The Calcutta edition (1835) and that of A. Troyer, with a French trans., based on insufficient material, have been superseded by M. A. Stein’s ed. (Bombay, 1892), trans. by Y. C. Datta (Calcutta, 1898).</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Ed. and trans. Raj.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trans. S. Lefmann.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Ed. E. Senart.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again </w:t>
      </w:r>
      <w:r>
        <w:rPr>
          <w:rFonts w:ascii="Times New Roman" w:eastAsia="Times New Roman" w:hAnsi="Times New Roman" w:cs="Times New Roman"/>
          <w:i/>
          <w:iCs/>
          <w:color w:val="000000"/>
          <w:spacing w:val="0"/>
          <w:w w:val="100"/>
          <w:position w:val="0"/>
          <w:shd w:val="clear" w:color="auto" w:fill="auto"/>
          <w:lang w:val="en-US" w:eastAsia="en-US" w:bidi="en-US"/>
        </w:rPr>
        <w:t>(Bombay Skt. Ser.)</w:t>
      </w:r>
      <w:r>
        <w:rPr>
          <w:rFonts w:ascii="Times New Roman" w:eastAsia="Times New Roman" w:hAnsi="Times New Roman" w:cs="Times New Roman"/>
          <w:color w:val="000000"/>
          <w:spacing w:val="0"/>
          <w:w w:val="100"/>
          <w:position w:val="0"/>
          <w:shd w:val="clear" w:color="auto" w:fill="auto"/>
          <w:lang w:val="en-US" w:eastAsia="en-US" w:bidi="en-US"/>
        </w:rPr>
        <w:t xml:space="preserve"> ρt. i., G. Bühler; ii., P. Peterson; freely trans. by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W. Jacob.</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Ed. Fitzedw. Hall </w:t>
      </w:r>
      <w:r>
        <w:rPr>
          <w:rFonts w:ascii="Times New Roman" w:eastAsia="Times New Roman" w:hAnsi="Times New Roman" w:cs="Times New Roman"/>
          <w:i/>
          <w:iCs/>
          <w:color w:val="000000"/>
          <w:spacing w:val="0"/>
          <w:w w:val="100"/>
          <w:position w:val="0"/>
          <w:shd w:val="clear" w:color="auto" w:fill="auto"/>
          <w:lang w:val="en-US" w:eastAsia="en-US" w:bidi="en-US"/>
        </w:rPr>
        <w:t>(Βibl. Ind.)</w:t>
      </w:r>
      <w:r>
        <w:rPr>
          <w:rFonts w:ascii="Times New Roman" w:eastAsia="Times New Roman" w:hAnsi="Times New Roman" w:cs="Times New Roman"/>
          <w:color w:val="000000"/>
          <w:spacing w:val="0"/>
          <w:w w:val="100"/>
          <w:position w:val="0"/>
          <w:shd w:val="clear" w:color="auto" w:fill="auto"/>
          <w:lang w:val="en-US" w:eastAsia="en-US" w:bidi="en-US"/>
        </w:rPr>
        <w:t xml:space="preserve"> ; with comm. J. Vidyäsägara (Calcutta, 1874).</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Ed. P. Peterson </w:t>
      </w:r>
      <w:r>
        <w:rPr>
          <w:rFonts w:ascii="Times New Roman" w:eastAsia="Times New Roman" w:hAnsi="Times New Roman" w:cs="Times New Roman"/>
          <w:i/>
          <w:iCs/>
          <w:color w:val="000000"/>
          <w:spacing w:val="0"/>
          <w:w w:val="100"/>
          <w:position w:val="0"/>
          <w:shd w:val="clear" w:color="auto" w:fill="auto"/>
          <w:lang w:val="en-US" w:eastAsia="en-US" w:bidi="en-US"/>
        </w:rPr>
        <w:t>(Bomb. S.S.);</w:t>
      </w:r>
      <w:r>
        <w:rPr>
          <w:rFonts w:ascii="Times New Roman" w:eastAsia="Times New Roman" w:hAnsi="Times New Roman" w:cs="Times New Roman"/>
          <w:color w:val="000000"/>
          <w:spacing w:val="0"/>
          <w:w w:val="100"/>
          <w:position w:val="0"/>
          <w:shd w:val="clear" w:color="auto" w:fill="auto"/>
          <w:lang w:val="en-US" w:eastAsia="en-US" w:bidi="en-US"/>
        </w:rPr>
        <w:t xml:space="preserve"> with comm. M. R. Kale (1896); trans. with some omissions, C. M. Ridding.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Ed. J. Vidyäsägara (Calcutta, 1883); with comm. (Jammu, 1879; Bombay, 1892); trans.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B. Cowell and F. W. Thomas (1897).</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Cf. 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Select Specimens of the Theatre of the Hindus </w:t>
      </w:r>
      <w:r>
        <w:rPr>
          <w:rFonts w:ascii="Times New Roman" w:eastAsia="Times New Roman" w:hAnsi="Times New Roman" w:cs="Times New Roman"/>
          <w:color w:val="000000"/>
          <w:spacing w:val="0"/>
          <w:w w:val="100"/>
          <w:position w:val="0"/>
          <w:shd w:val="clear" w:color="auto" w:fill="auto"/>
          <w:lang w:val="en-US" w:eastAsia="en-US" w:bidi="en-US"/>
        </w:rPr>
        <w:t xml:space="preserve">(3rd ed., 2 vols., 1871) ; </w:t>
      </w:r>
      <w:r>
        <w:rPr>
          <w:rFonts w:ascii="Times New Roman" w:eastAsia="Times New Roman" w:hAnsi="Times New Roman" w:cs="Times New Roman"/>
          <w:color w:val="000000"/>
          <w:spacing w:val="0"/>
          <w:w w:val="100"/>
          <w:position w:val="0"/>
          <w:shd w:val="clear" w:color="auto" w:fill="auto"/>
          <w:lang w:val="fr-FR" w:eastAsia="fr-FR" w:bidi="fr-FR"/>
        </w:rPr>
        <w:t xml:space="preserve">Sylvain Lévi, </w:t>
      </w:r>
      <w:r>
        <w:rPr>
          <w:rFonts w:ascii="Times New Roman" w:eastAsia="Times New Roman" w:hAnsi="Times New Roman" w:cs="Times New Roman"/>
          <w:i/>
          <w:iCs/>
          <w:color w:val="000000"/>
          <w:spacing w:val="0"/>
          <w:w w:val="100"/>
          <w:position w:val="0"/>
          <w:shd w:val="clear" w:color="auto" w:fill="auto"/>
          <w:lang w:val="fr-FR" w:eastAsia="fr-FR" w:bidi="fr-FR"/>
        </w:rPr>
        <w:t>Le Théâtre indien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1890).</w:t>
      </w:r>
    </w:p>
    <w:p>
      <w:pPr>
        <w:widowControl w:val="0"/>
        <w:spacing w:line="1" w:lineRule="exact"/>
      </w:pPr>
    </w:p>
    <w:sectPr>
      <w:footnotePr>
        <w:pos w:val="pageBottom"/>
        <w:numFmt w:val="decimal"/>
        <w:numRestart w:val="continuous"/>
      </w:footnotePr>
      <w:type w:val="continuous"/>
      <w:pgSz w:w="12240" w:h="15840"/>
      <w:pgMar w:top="845" w:left="774" w:right="1074" w:bottom="7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