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Amsterdam,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went to Jena, where, in 1 796, he married Karoline, the widow of the physician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Böhmer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Schelling, Karoline)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in 1798 was appointed extraordinary professor. Here he began his translation of Shakespeare, which was ultimately completed, under the superintendence of Ludwig Tieck, by Tieck’s daughter Dorothea and Graf W. H. Baudissin. This rendering is one of the best poetical translations in German, or indeed in any language. At Jena Schlegel contributed to Schiller’s periodicals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Horen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Musenalmanach;</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with his brother Friedrich he conducted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Athenaeum,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organ of the Romantic school. He also published a volume of poems, and carried on a rather bitter controversy with Kotzebue. At this time the two brothers were remarkable for the vigour and freshness of their ideas, and commanded respect as the leaders of the new Romantic criticism. A volume of their joint essays appeared in 1801 under the title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Charakteristiken und Kritiken.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1802 Schlegel went to Berlin, where he delivered lectures on art and literature; and in the following year he published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tragedy in Euripidean style, which gave rise to a suggestive discussion on the principles of dramatic poetry. This was followed by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Spanisches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Theater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 vols., 1803-1809), in which he presented admirable translations of five of Calderon’s plays; and in another volume,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Blumenstraüs</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italienischer, spanischer und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portuguesischer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Poesie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(1804), he gave translations of Spanish, Portuguese and Italian lyrics. In 1807 he attracted much attention in France by an essay in the French language,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Comparaison entre la Phèdre de Racine et celle d'Euripide,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he attacked French classicism from the standpoint of the Romantic school. His lectures on dramatic art and literature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(Über dramatische Kunst und Literatur,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1809-1811), which h</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been translated into most European languages, were delivered at Vienna in 1808. Meanwhile, after a divorce from his wife Karoline, in 1804, he travelled in France, Germany, Italy and other countries with Madame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Staël,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who owed to him many of the ideas which she embodied in her work,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l'Allemagne.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1813 he acted as secretary of the crown prince of Sweden, through whose influence the right of his family to noble rank was revived. Schlegel was made a professor of literature at the university of Bonn in 1818, and during the remainder of his life occupied himself chiefly with oriental studies, although he continued to lecture on art and literature, and in 1828 he issued two volumes of critical writings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(Kritische Schriften)</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1823- 1830 he published the journal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Indische Bibliothek</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edited (1823)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Bhagavad-Gīla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with a Latin translation, and (1829)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Rāmāyana.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These works mark the beginning of Sanskrit scholarship in Germany. After the death of Madame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Staël </w:t>
      </w:r>
      <w:r>
        <w:rPr>
          <w:rFonts w:ascii="Times New Roman" w:eastAsia="Times New Roman" w:hAnsi="Times New Roman" w:cs="Times New Roman"/>
          <w:color w:val="000000"/>
          <w:spacing w:val="0"/>
          <w:w w:val="100"/>
          <w:position w:val="0"/>
          <w:sz w:val="19"/>
          <w:szCs w:val="19"/>
          <w:shd w:val="clear" w:color="auto" w:fill="auto"/>
          <w:lang w:val="en-US" w:eastAsia="en-US" w:bidi="en-US"/>
        </w:rPr>
        <w:t>Schlegel married (1818) a daughter of Professor Paulus of Heidelberg; but this union was dissolved in 1821. He died at Bonn on the 12th of May 1845. As an original poet Schlegel is unimportant, but as a poetical translator he has rarely been excelled, and in criticism he put into practice the Romantic principle that a critic’s first duty is not to judge from the stand- point of superiority, but to understand and to “ characterize ” a work of art.</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In 1846-1847 Schlegel’s </w:t>
      </w:r>
      <w:r>
        <w:rPr>
          <w:rFonts w:ascii="Times New Roman" w:eastAsia="Times New Roman" w:hAnsi="Times New Roman" w:cs="Times New Roman"/>
          <w:color w:val="000000"/>
          <w:spacing w:val="0"/>
          <w:w w:val="100"/>
          <w:position w:val="0"/>
          <w:shd w:val="clear" w:color="auto" w:fill="auto"/>
          <w:lang w:val="de-DE" w:eastAsia="de-DE" w:bidi="de-DE"/>
        </w:rPr>
        <w:t>Sämtliche Werke</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were issued in twelve volumes by E. Böeking. There are also editions by the same editor of his </w:t>
      </w:r>
      <w:r>
        <w:rPr>
          <w:rFonts w:ascii="Times New Roman" w:eastAsia="Times New Roman" w:hAnsi="Times New Roman" w:cs="Times New Roman"/>
          <w:color w:val="000000"/>
          <w:spacing w:val="0"/>
          <w:w w:val="100"/>
          <w:position w:val="0"/>
          <w:shd w:val="clear" w:color="auto" w:fill="auto"/>
          <w:lang w:val="fr-FR" w:eastAsia="fr-FR" w:bidi="fr-FR"/>
        </w:rPr>
        <w:t>Œuvres écrites en français</w:t>
      </w:r>
      <w:r>
        <w:rPr>
          <w:rFonts w:ascii="Times New Roman" w:eastAsia="Times New Roman" w:hAnsi="Times New Roman" w:cs="Times New Roman"/>
          <w:i w:val="0"/>
          <w:iCs w:val="0"/>
          <w:color w:val="000000"/>
          <w:spacing w:val="0"/>
          <w:w w:val="100"/>
          <w:position w:val="0"/>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(3 </w:t>
      </w:r>
      <w:r>
        <w:rPr>
          <w:rFonts w:ascii="Times New Roman" w:eastAsia="Times New Roman" w:hAnsi="Times New Roman" w:cs="Times New Roman"/>
          <w:i w:val="0"/>
          <w:iCs w:val="0"/>
          <w:color w:val="000000"/>
          <w:spacing w:val="0"/>
          <w:w w:val="100"/>
          <w:position w:val="0"/>
          <w:shd w:val="clear" w:color="auto" w:fill="auto"/>
          <w:lang w:val="fr-FR" w:eastAsia="fr-FR" w:bidi="fr-FR"/>
        </w:rPr>
        <w:t xml:space="preserve">vols.,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1846), and of his </w:t>
      </w:r>
      <w:r>
        <w:rPr>
          <w:rFonts w:ascii="Times New Roman" w:eastAsia="Times New Roman" w:hAnsi="Times New Roman" w:cs="Times New Roman"/>
          <w:color w:val="000000"/>
          <w:spacing w:val="0"/>
          <w:w w:val="100"/>
          <w:position w:val="0"/>
          <w:shd w:val="clear" w:color="auto" w:fill="auto"/>
          <w:lang w:val="fr-FR" w:eastAsia="fr-FR" w:bidi="fr-FR"/>
        </w:rPr>
        <w:t xml:space="preserve">Opuscula Latine </w:t>
      </w:r>
      <w:r>
        <w:rPr>
          <w:rFonts w:ascii="Times New Roman" w:eastAsia="Times New Roman" w:hAnsi="Times New Roman" w:cs="Times New Roman"/>
          <w:color w:val="000000"/>
          <w:spacing w:val="0"/>
          <w:w w:val="100"/>
          <w:position w:val="0"/>
          <w:shd w:val="clear" w:color="auto" w:fill="auto"/>
          <w:lang w:val="de-DE" w:eastAsia="de-DE" w:bidi="de-DE"/>
        </w:rPr>
        <w:t>scripta</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(1848). Schlegel’s </w:t>
      </w:r>
      <w:r>
        <w:rPr>
          <w:rFonts w:ascii="Times New Roman" w:eastAsia="Times New Roman" w:hAnsi="Times New Roman" w:cs="Times New Roman"/>
          <w:i w:val="0"/>
          <w:iCs w:val="0"/>
          <w:color w:val="000000"/>
          <w:spacing w:val="0"/>
          <w:w w:val="100"/>
          <w:position w:val="0"/>
          <w:shd w:val="clear" w:color="auto" w:fill="auto"/>
          <w:lang w:val="fr-FR" w:eastAsia="fr-FR" w:bidi="fr-FR"/>
        </w:rPr>
        <w:t xml:space="preserve">Shakespeare translations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have been often reprinted; the edition of 1871-1872 was revised with Schlegel’s MSS. by M. Bernays. See M. Bernays, </w:t>
      </w:r>
      <w:r>
        <w:rPr>
          <w:rFonts w:ascii="Times New Roman" w:eastAsia="Times New Roman" w:hAnsi="Times New Roman" w:cs="Times New Roman"/>
          <w:color w:val="000000"/>
          <w:spacing w:val="0"/>
          <w:w w:val="100"/>
          <w:position w:val="0"/>
          <w:shd w:val="clear" w:color="auto" w:fill="auto"/>
          <w:lang w:val="de-DE" w:eastAsia="de-DE" w:bidi="de-DE"/>
        </w:rPr>
        <w:t>Zur Entstehungs</w:t>
        <w:softHyphen/>
        <w:t xml:space="preserve">geschichte des </w:t>
      </w:r>
      <w:r>
        <w:rPr>
          <w:rFonts w:ascii="Times New Roman" w:eastAsia="Times New Roman" w:hAnsi="Times New Roman" w:cs="Times New Roman"/>
          <w:color w:val="000000"/>
          <w:spacing w:val="0"/>
          <w:w w:val="100"/>
          <w:position w:val="0"/>
          <w:shd w:val="clear" w:color="auto" w:fill="auto"/>
          <w:lang w:val="en-US" w:eastAsia="en-US" w:bidi="en-US"/>
        </w:rPr>
        <w:t xml:space="preserve">Schlegelschen </w:t>
      </w:r>
      <w:r>
        <w:rPr>
          <w:rFonts w:ascii="Times New Roman" w:eastAsia="Times New Roman" w:hAnsi="Times New Roman" w:cs="Times New Roman"/>
          <w:color w:val="000000"/>
          <w:spacing w:val="0"/>
          <w:w w:val="100"/>
          <w:position w:val="0"/>
          <w:shd w:val="clear" w:color="auto" w:fill="auto"/>
          <w:lang w:val="de-DE" w:eastAsia="de-DE" w:bidi="de-DE"/>
        </w:rPr>
        <w:t>Shakespeare</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(1872); </w:t>
      </w:r>
      <w:r>
        <w:rPr>
          <w:rFonts w:ascii="Times New Roman" w:eastAsia="Times New Roman" w:hAnsi="Times New Roman" w:cs="Times New Roman"/>
          <w:i w:val="0"/>
          <w:iCs w:val="0"/>
          <w:color w:val="000000"/>
          <w:spacing w:val="0"/>
          <w:w w:val="100"/>
          <w:position w:val="0"/>
          <w:shd w:val="clear" w:color="auto" w:fill="auto"/>
          <w:lang w:val="fr-FR" w:eastAsia="fr-FR" w:bidi="fr-FR"/>
        </w:rPr>
        <w:t xml:space="preserve">R. Genée, </w:t>
      </w:r>
      <w:r>
        <w:rPr>
          <w:rFonts w:ascii="Times New Roman" w:eastAsia="Times New Roman" w:hAnsi="Times New Roman" w:cs="Times New Roman"/>
          <w:color w:val="000000"/>
          <w:spacing w:val="0"/>
          <w:w w:val="100"/>
          <w:position w:val="0"/>
          <w:shd w:val="clear" w:color="auto" w:fill="auto"/>
          <w:lang w:val="de-DE" w:eastAsia="de-DE" w:bidi="de-DE"/>
        </w:rPr>
        <w:t xml:space="preserve">Schlegel und </w:t>
      </w:r>
      <w:r>
        <w:rPr>
          <w:rFonts w:ascii="Times New Roman" w:eastAsia="Times New Roman" w:hAnsi="Times New Roman" w:cs="Times New Roman"/>
          <w:color w:val="000000"/>
          <w:spacing w:val="0"/>
          <w:w w:val="100"/>
          <w:position w:val="0"/>
          <w:shd w:val="clear" w:color="auto" w:fill="auto"/>
          <w:lang w:val="fr-FR" w:eastAsia="fr-FR" w:bidi="fr-FR"/>
        </w:rPr>
        <w:t>Shakespeare</w:t>
      </w:r>
      <w:r>
        <w:rPr>
          <w:rFonts w:ascii="Times New Roman" w:eastAsia="Times New Roman" w:hAnsi="Times New Roman" w:cs="Times New Roman"/>
          <w:i w:val="0"/>
          <w:iCs w:val="0"/>
          <w:color w:val="000000"/>
          <w:spacing w:val="0"/>
          <w:w w:val="100"/>
          <w:position w:val="0"/>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(1903). Schlegel’s </w:t>
      </w:r>
      <w:r>
        <w:rPr>
          <w:rFonts w:ascii="Times New Roman" w:eastAsia="Times New Roman" w:hAnsi="Times New Roman" w:cs="Times New Roman"/>
          <w:i w:val="0"/>
          <w:iCs w:val="0"/>
          <w:color w:val="000000"/>
          <w:spacing w:val="0"/>
          <w:w w:val="100"/>
          <w:position w:val="0"/>
          <w:shd w:val="clear" w:color="auto" w:fill="auto"/>
          <w:lang w:val="fr-FR" w:eastAsia="fr-FR" w:bidi="fr-FR"/>
        </w:rPr>
        <w:t xml:space="preserve">Berlin lectures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of 1801-1804 were reprinted from MS. notes by J. Minor (1884). A selection of the writings of both A. W. and Friedrich Schlegel, edited by </w:t>
      </w:r>
      <w:r>
        <w:rPr>
          <w:rFonts w:ascii="Times New Roman" w:eastAsia="Times New Roman" w:hAnsi="Times New Roman" w:cs="Times New Roman"/>
          <w:i w:val="0"/>
          <w:iCs w:val="0"/>
          <w:color w:val="000000"/>
          <w:spacing w:val="0"/>
          <w:w w:val="100"/>
          <w:position w:val="0"/>
          <w:shd w:val="clear" w:color="auto" w:fill="auto"/>
          <w:lang w:val="fr-FR" w:eastAsia="fr-FR" w:bidi="fr-FR"/>
        </w:rPr>
        <w:t xml:space="preserve">O.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F. Walzel, will be found in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Kürschner’s </w:t>
      </w:r>
      <w:r>
        <w:rPr>
          <w:rFonts w:ascii="Times New Roman" w:eastAsia="Times New Roman" w:hAnsi="Times New Roman" w:cs="Times New Roman"/>
          <w:color w:val="000000"/>
          <w:spacing w:val="0"/>
          <w:w w:val="100"/>
          <w:position w:val="0"/>
          <w:shd w:val="clear" w:color="auto" w:fill="auto"/>
          <w:lang w:val="en-US" w:eastAsia="en-US" w:bidi="en-US"/>
        </w:rPr>
        <w:t xml:space="preserve">Deutsche </w:t>
      </w:r>
      <w:r>
        <w:rPr>
          <w:rFonts w:ascii="Times New Roman" w:eastAsia="Times New Roman" w:hAnsi="Times New Roman" w:cs="Times New Roman"/>
          <w:color w:val="000000"/>
          <w:spacing w:val="0"/>
          <w:w w:val="100"/>
          <w:position w:val="0"/>
          <w:shd w:val="clear" w:color="auto" w:fill="auto"/>
          <w:lang w:val="fr-FR" w:eastAsia="fr-FR" w:bidi="fr-FR"/>
        </w:rPr>
        <w:t>Nationaltiteratur,</w:t>
      </w:r>
      <w:r>
        <w:rPr>
          <w:rFonts w:ascii="Times New Roman" w:eastAsia="Times New Roman" w:hAnsi="Times New Roman" w:cs="Times New Roman"/>
          <w:i w:val="0"/>
          <w:iCs w:val="0"/>
          <w:color w:val="000000"/>
          <w:spacing w:val="0"/>
          <w:w w:val="100"/>
          <w:position w:val="0"/>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143 (1892). See especially </w:t>
      </w:r>
      <w:r>
        <w:rPr>
          <w:rFonts w:ascii="Times New Roman" w:eastAsia="Times New Roman" w:hAnsi="Times New Roman" w:cs="Times New Roman"/>
          <w:i w:val="0"/>
          <w:iCs w:val="0"/>
          <w:color w:val="000000"/>
          <w:spacing w:val="0"/>
          <w:w w:val="100"/>
          <w:position w:val="0"/>
          <w:shd w:val="clear" w:color="auto" w:fill="auto"/>
          <w:lang w:val="fr-FR" w:eastAsia="fr-FR" w:bidi="fr-FR"/>
        </w:rPr>
        <w:t xml:space="preserve">R. Haym, </w:t>
      </w:r>
      <w:r>
        <w:rPr>
          <w:rFonts w:ascii="Times New Roman" w:eastAsia="Times New Roman" w:hAnsi="Times New Roman" w:cs="Times New Roman"/>
          <w:color w:val="000000"/>
          <w:spacing w:val="0"/>
          <w:w w:val="100"/>
          <w:position w:val="0"/>
          <w:shd w:val="clear" w:color="auto" w:fill="auto"/>
          <w:lang w:val="de-DE" w:eastAsia="de-DE" w:bidi="de-DE"/>
        </w:rPr>
        <w:t>Romantische Schule,</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and the article in the </w:t>
      </w:r>
      <w:r>
        <w:rPr>
          <w:rFonts w:ascii="Times New Roman" w:eastAsia="Times New Roman" w:hAnsi="Times New Roman" w:cs="Times New Roman"/>
          <w:color w:val="000000"/>
          <w:spacing w:val="0"/>
          <w:w w:val="100"/>
          <w:position w:val="0"/>
          <w:shd w:val="clear" w:color="auto" w:fill="auto"/>
          <w:lang w:val="en-US" w:eastAsia="en-US" w:bidi="en-US"/>
        </w:rPr>
        <w:t xml:space="preserve">Allg. </w:t>
      </w:r>
      <w:r>
        <w:rPr>
          <w:rFonts w:ascii="Times New Roman" w:eastAsia="Times New Roman" w:hAnsi="Times New Roman" w:cs="Times New Roman"/>
          <w:color w:val="000000"/>
          <w:spacing w:val="0"/>
          <w:w w:val="100"/>
          <w:position w:val="0"/>
          <w:shd w:val="clear" w:color="auto" w:fill="auto"/>
          <w:lang w:val="de-DE" w:eastAsia="de-DE" w:bidi="de-DE"/>
        </w:rPr>
        <w:t>deutsche Biographie</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by </w:t>
      </w:r>
      <w:r>
        <w:rPr>
          <w:rFonts w:ascii="Times New Roman" w:eastAsia="Times New Roman" w:hAnsi="Times New Roman" w:cs="Times New Roman"/>
          <w:i w:val="0"/>
          <w:iCs w:val="0"/>
          <w:color w:val="000000"/>
          <w:spacing w:val="0"/>
          <w:w w:val="100"/>
          <w:position w:val="0"/>
          <w:shd w:val="clear" w:color="auto" w:fill="auto"/>
          <w:lang w:val="fr-FR" w:eastAsia="fr-FR" w:bidi="fr-FR"/>
        </w:rPr>
        <w:t xml:space="preserve">F. </w:t>
      </w:r>
      <w:r>
        <w:rPr>
          <w:rFonts w:ascii="Times New Roman" w:eastAsia="Times New Roman" w:hAnsi="Times New Roman" w:cs="Times New Roman"/>
          <w:i w:val="0"/>
          <w:iCs w:val="0"/>
          <w:color w:val="000000"/>
          <w:spacing w:val="0"/>
          <w:w w:val="100"/>
          <w:position w:val="0"/>
          <w:shd w:val="clear" w:color="auto" w:fill="auto"/>
          <w:lang w:val="en-US" w:eastAsia="en-US" w:bidi="en-US"/>
        </w:rPr>
        <w:t>Muncker.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SCHLEGEL, JOHANN ELIAS (1719-1749), German critic and dramatic poet, was horn at Meissen on the 28th of January 1719. He was educated at Schulpforta and at the university of Leipzig, where he studied law. In 1743 he became private secretary to his relative, von Spener, the Saxon ambassador at the Danish court. Afterwards he was made professor extra</w:t>
        <w:softHyphen/>
        <w:t>ordinary at the academy of Seröe, where he died on the 13th</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August 1749. . Schlegel was a contributor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Bremer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Beiträge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for some time, while he was living in Denmark, edited a weekly periodical,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Fremde.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his dramas as well as with his critical writings he did much to prepare the way for Lessing, by whom his genius was warmly appreciated. He wrote two lively and well-constructed comedies,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Triumph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der guten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Frauen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stumme Schönheit,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former in prose, the latter in alexandrines.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Hermann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Canut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alexandrines) are generally considered his best tragedies.</w:t>
      </w:r>
    </w:p>
    <w:p>
      <w:pPr>
        <w:pStyle w:val="Style8"/>
        <w:keepNext w:val="0"/>
        <w:keepLines w:val="0"/>
        <w:widowControl w:val="0"/>
        <w:shd w:val="clear" w:color="auto" w:fill="auto"/>
        <w:bidi w:val="0"/>
        <w:ind w:left="0" w:firstLine="360"/>
        <w:jc w:val="left"/>
        <w:rPr>
          <w:sz w:val="19"/>
          <w:szCs w:val="19"/>
        </w:rPr>
      </w:pP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 xml:space="preserve">His works were edited (in 5 </w:t>
      </w:r>
      <w:r>
        <w:rPr>
          <w:rFonts w:ascii="Times New Roman" w:eastAsia="Times New Roman" w:hAnsi="Times New Roman" w:cs="Times New Roman"/>
          <w:i w:val="0"/>
          <w:iCs w:val="0"/>
          <w:color w:val="000000"/>
          <w:spacing w:val="0"/>
          <w:w w:val="100"/>
          <w:position w:val="0"/>
          <w:sz w:val="16"/>
          <w:szCs w:val="16"/>
          <w:shd w:val="clear" w:color="auto" w:fill="auto"/>
          <w:lang w:val="fr-FR" w:eastAsia="fr-FR" w:bidi="fr-FR"/>
        </w:rPr>
        <w:t xml:space="preserve">vols., </w:t>
      </w: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 xml:space="preserve">1761-1770) by his brother, J. H. Schlegel (1724-1780), who had a considerable reputation as a writer on Danish history. Another brother, J. Adolf Schlegel (1721-1793), an eminent preacher, and author of some volumes of verse, was the father </w:t>
      </w:r>
      <w:r>
        <w:rPr>
          <w:rFonts w:ascii="Times New Roman" w:eastAsia="Times New Roman" w:hAnsi="Times New Roman" w:cs="Times New Roman"/>
          <w:i w:val="0"/>
          <w:iCs w:val="0"/>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 xml:space="preserve">August Wilhelm and Friedrich von Schlegel. J. E. Schlegel’s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Ästhetische </w:t>
      </w:r>
      <w:r>
        <w:rPr>
          <w:rFonts w:ascii="Times New Roman" w:eastAsia="Times New Roman" w:hAnsi="Times New Roman" w:cs="Times New Roman"/>
          <w:color w:val="000000"/>
          <w:spacing w:val="0"/>
          <w:w w:val="100"/>
          <w:position w:val="0"/>
          <w:sz w:val="16"/>
          <w:szCs w:val="16"/>
          <w:shd w:val="clear" w:color="auto" w:fill="auto"/>
          <w:lang w:val="de-DE" w:eastAsia="de-DE" w:bidi="de-DE"/>
        </w:rPr>
        <w:t>und dramaturgische Schriften</w:t>
      </w:r>
      <w:r>
        <w:rPr>
          <w:rFonts w:ascii="Times New Roman" w:eastAsia="Times New Roman" w:hAnsi="Times New Roman" w:cs="Times New Roman"/>
          <w:i w:val="0"/>
          <w:iCs w:val="0"/>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 xml:space="preserve">have been edited by J. von Antoniewiez (1887), and a selection of his plays by F. Muncker in </w:t>
      </w:r>
      <w:r>
        <w:rPr>
          <w:rFonts w:ascii="Times New Roman" w:eastAsia="Times New Roman" w:hAnsi="Times New Roman" w:cs="Times New Roman"/>
          <w:color w:val="000000"/>
          <w:spacing w:val="0"/>
          <w:w w:val="100"/>
          <w:position w:val="0"/>
          <w:sz w:val="16"/>
          <w:szCs w:val="16"/>
          <w:shd w:val="clear" w:color="auto" w:fill="auto"/>
          <w:lang w:val="de-DE" w:eastAsia="de-DE" w:bidi="de-DE"/>
        </w:rPr>
        <w:t>Bremer Beiträge,</w:t>
      </w:r>
      <w:r>
        <w:rPr>
          <w:rFonts w:ascii="Times New Roman" w:eastAsia="Times New Roman" w:hAnsi="Times New Roman" w:cs="Times New Roman"/>
          <w:i w:val="0"/>
          <w:iCs w:val="0"/>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i w:val="0"/>
          <w:iCs w:val="0"/>
          <w:color w:val="000000"/>
          <w:spacing w:val="0"/>
          <w:w w:val="100"/>
          <w:position w:val="0"/>
          <w:sz w:val="16"/>
          <w:szCs w:val="16"/>
          <w:shd w:val="clear" w:color="auto" w:fill="auto"/>
          <w:lang w:val="fr-FR" w:eastAsia="fr-FR" w:bidi="fr-FR"/>
        </w:rPr>
        <w:t>vol. ii</w:t>
      </w: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val="0"/>
          <w:iCs w:val="0"/>
          <w:color w:val="000000"/>
          <w:spacing w:val="0"/>
          <w:w w:val="100"/>
          <w:position w:val="0"/>
          <w:sz w:val="16"/>
          <w:szCs w:val="16"/>
          <w:shd w:val="clear" w:color="auto" w:fill="auto"/>
          <w:lang w:val="de-DE" w:eastAsia="de-DE" w:bidi="de-DE"/>
        </w:rPr>
        <w:t xml:space="preserve">(Kürschner's </w:t>
      </w:r>
      <w:r>
        <w:rPr>
          <w:rFonts w:ascii="Times New Roman" w:eastAsia="Times New Roman" w:hAnsi="Times New Roman" w:cs="Times New Roman"/>
          <w:color w:val="000000"/>
          <w:spacing w:val="0"/>
          <w:w w:val="100"/>
          <w:position w:val="0"/>
          <w:sz w:val="16"/>
          <w:szCs w:val="16"/>
          <w:shd w:val="clear" w:color="auto" w:fill="auto"/>
          <w:lang w:val="de-DE" w:eastAsia="de-DE" w:bidi="de-DE"/>
        </w:rPr>
        <w:t>Deutsche Nationalliteratur,</w:t>
      </w:r>
      <w:r>
        <w:rPr>
          <w:rFonts w:ascii="Times New Roman" w:eastAsia="Times New Roman" w:hAnsi="Times New Roman" w:cs="Times New Roman"/>
          <w:i w:val="0"/>
          <w:iCs w:val="0"/>
          <w:color w:val="000000"/>
          <w:spacing w:val="0"/>
          <w:w w:val="100"/>
          <w:position w:val="0"/>
          <w:sz w:val="16"/>
          <w:szCs w:val="16"/>
          <w:shd w:val="clear" w:color="auto" w:fill="auto"/>
          <w:lang w:val="de-DE" w:eastAsia="de-DE" w:bidi="de-DE"/>
        </w:rPr>
        <w:t xml:space="preserve"> vol. xliv., </w:t>
      </w: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 xml:space="preserve">1899). See. besides the biography by his brother in the edition of his works, E. Wolff, </w:t>
      </w:r>
      <w:r>
        <w:rPr>
          <w:rFonts w:ascii="Times New Roman" w:eastAsia="Times New Roman" w:hAnsi="Times New Roman" w:cs="Times New Roman"/>
          <w:color w:val="000000"/>
          <w:spacing w:val="0"/>
          <w:w w:val="100"/>
          <w:position w:val="0"/>
          <w:sz w:val="16"/>
          <w:szCs w:val="16"/>
          <w:shd w:val="clear" w:color="auto" w:fill="auto"/>
          <w:lang w:val="en-US" w:eastAsia="en-US" w:bidi="en-US"/>
        </w:rPr>
        <w:t>Johann Elias Schlegel</w:t>
      </w: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 xml:space="preserve"> (1889); and J. Rentsch,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Johann Elias Schlegel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als Trauer- </w:t>
      </w:r>
      <w:r>
        <w:rPr>
          <w:rFonts w:ascii="Times New Roman" w:eastAsia="Times New Roman" w:hAnsi="Times New Roman" w:cs="Times New Roman"/>
          <w:color w:val="000000"/>
          <w:spacing w:val="0"/>
          <w:w w:val="100"/>
          <w:position w:val="0"/>
          <w:sz w:val="16"/>
          <w:szCs w:val="16"/>
          <w:shd w:val="clear" w:color="auto" w:fill="auto"/>
          <w:lang w:val="en-US" w:eastAsia="en-US" w:bidi="en-US"/>
        </w:rPr>
        <w:t>spielaichter</w:t>
      </w:r>
      <w:r>
        <w:rPr>
          <w:rFonts w:ascii="Times New Roman" w:eastAsia="Times New Roman" w:hAnsi="Times New Roman" w:cs="Times New Roman"/>
          <w:i w:val="0"/>
          <w:iCs w:val="0"/>
          <w:color w:val="000000"/>
          <w:spacing w:val="0"/>
          <w:w w:val="100"/>
          <w:position w:val="0"/>
          <w:sz w:val="19"/>
          <w:szCs w:val="19"/>
          <w:shd w:val="clear" w:color="auto" w:fill="auto"/>
          <w:lang w:val="en-US" w:eastAsia="en-US" w:bidi="en-US"/>
        </w:rPr>
        <w:t xml:space="preserve"> (1890).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SCHLEGEL, KARL WILHELM FRIEDRICH VON (1772-1829), German poet, critic and scholar, was the younger brother of August Wilhelm von Schlegel. He was born at Hanover on the 10th of March 1772. He studied law at Göttingen and Leipzig, but ultimately devoted himself entirely to literary studies. He published in 1797 the important book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Griechen und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Römer,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was followed by the suggestive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Geschichte der Poesie der Griechen und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Römer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(1798). At Jena, where he lectured as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Privatdozent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at the university, he contributed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Athenaeum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aphorisms and essays in which the principles of the Romantic school are most definitely stated. Here also he wrote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Lucinde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(1799), an unfinished romance, which is interesting as an attempt to transfer to practical ethics the Romantic demand for complete individual freedom,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Alarcos,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tragedy (1802) in which, without much success, he combined romantic and classical elements. In 1802 he went to Paris, where he edited the review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Europa</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(1803), lectured on philosophy and carried on Oriental studies, some results of which he embodied in an epoch-making book,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Sprache und Weisheit der Indier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(1808).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same year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this work appeared, he and his wife Dorothea (1763-1839), a daughter of Moses Mendelssohn, joined the Roman Catholic Church, and from this time he became more and more opposed to the principles of political and religious freedom. He went to Vienna and in 1809 was appointed imperial court secretary at the headquarters of the archduke Charles. At a later period he was councillor of legation in the Austrian embassy at the Frankfort diet, but in 1818 he returned to Vienna. Meanwhile he had published his collected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Gedichte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(1809) and two series of lectures,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neuere Geschichte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(1811) and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Geschichte der alten und neuen Literatur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(1815). After his return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Vienna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from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Frankfort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edited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Concordia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(1820-1823), and began the issue of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Sämtliche Werke.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He also delivered lectures, which were re</w:t>
        <w:softHyphen/>
        <w:t xml:space="preserve">published in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Philosophie des Lebens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(1828) and in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Philo</w:t>
        <w:softHyphen/>
        <w:t>sophie der Geschichte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(1829). He died on the 11th of January 1829 at Dresden. A permanent place in the history of German literature belongs to Friedrich Schlegel and his brother August Wilhelm as the critical leaders of the Romantic school, which derived from them most of its governing ideas as to the charac- teristics of the middle ages, and as to the methods of literary expression. Of the two brothers, Friedrich was unquestionably the more original genius. He was the real founder of the Romantic school; to him more than to any other member of the school we owe the revolutionizing and germinating ideas which influenced so profoundly the development of German literature at the beginning of the 19th century.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Friedrich Schlegel’s wife, Dorothea, was the author of an unfinished romance,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Florentin</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(1801),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Sammlung romantischer Dichtungen des Mittelalters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1804),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version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Lother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und Maller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(1805), and a translation of Madame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Staël’s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Corinne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(1807-1808)—all of which were issued under her hus- band’s name. By her first marriage she had a son, Philipp Veit, who became an eminent painter.</w:t>
      </w:r>
    </w:p>
    <w:sectPr>
      <w:footnotePr>
        <w:pos w:val="pageBottom"/>
        <w:numFmt w:val="decimal"/>
        <w:numRestart w:val="continuous"/>
      </w:footnotePr>
      <w:pgSz w:w="12240" w:h="15840"/>
      <w:pgMar w:top="844" w:left="928" w:right="901" w:bottom="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5)_"/>
    <w:basedOn w:val="DefaultParagraphFont"/>
    <w:link w:val="Style8"/>
    <w:rPr>
      <w:rFonts w:ascii="Constantia" w:eastAsia="Constantia" w:hAnsi="Constantia" w:cs="Constantia"/>
      <w:b w:val="0"/>
      <w:bCs w:val="0"/>
      <w:i/>
      <w:iCs/>
      <w:smallCaps w:val="0"/>
      <w:strike w:val="0"/>
      <w:sz w:val="16"/>
      <w:szCs w:val="16"/>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8">
    <w:name w:val="Body text (5)"/>
    <w:basedOn w:val="Normal"/>
    <w:link w:val="CharStyle9"/>
    <w:pPr>
      <w:widowControl w:val="0"/>
      <w:shd w:val="clear" w:color="auto" w:fill="FFFFFF"/>
      <w:spacing w:line="190" w:lineRule="auto"/>
      <w:ind w:firstLine="220"/>
      <w:jc w:val="both"/>
    </w:pPr>
    <w:rPr>
      <w:rFonts w:ascii="Constantia" w:eastAsia="Constantia" w:hAnsi="Constantia" w:cs="Constantia"/>
      <w:b w:val="0"/>
      <w:bCs w:val="0"/>
      <w:i/>
      <w:iCs/>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