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1885-1889; and in April 1888 was promoted captain. He commanded the “ Baltimore ” in Rear-Admiral George Brown’s squadron off the coast of Chile in 1891. Early in 1892 he was again transferred to the lighthouse bureau, and until February 1895 was inspector of the third lighthouse district; and in 1897-1898 he was a member (and chairman) of the Lighthouse Board. He was commissioned commodore on the 6th of February 1898, and on the 24th of March, although lowest on the list of commodores, he was put in command of the “ flying squadron,” with the “ Brooklyn ” as his flagship, for service in the war with Spain. The command of the fleet off Santiago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Cuba was taken from Schley by Acting Rear-Admiral W. T. Sampson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June. In the battle of Santiago on the 3rd of July Schley, in Sampson’s absence, was the senior officer and the “ Brooklyn ” did especial service, with the “ Oregon,” in over</w:t>
        <w:softHyphen/>
        <w:t xml:space="preserve">hauling and disabling the “ Cristobal Colón.” On the 10th of August Schley was advanced six numbers and was made rear- admiral for “ eminent and conspicuous conduct in battle.” On the 19th he was appointed a commissioner of the United States to arrange the evacuation of Porto Rico. When the Navy Department recommended that Sampson be promoted eight numbers and over the head of Schley, who had ranked him for forty-two years, there was a bitter controversy, and the Senate did not confirm the promotion. On the 14th of April 1899 Schley was commissioned rear-admiral, ranking as major-general. In November 1899 he was put in command of the South Atlantic Station, and in October 1901 he retired from active service upon reaching the age limit. At his request, because of the charges made against him in E. S. Maclay’s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the Navy,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court of inquiry investigated Schley’s conduct before and during the battle of Santiago; on the 13th of December 1901 the court pronounced Schley guilty of delay in locating Cervera’s squadron, of carelessness in endangering the “ Texas ” by a peculiar “ loop ” movement or turn of the “Brooklyn” which blanketed the fire of other American vessels, and of disobedience to a departmental order of the 25th of May, but it recommended that no action be taken. Admiral Schley filed a protest against the court’s findings, which, however, were approved by the Secretary of the Navy.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Schley wrote, with James Russell Soley,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Rescue of Greely </w:t>
      </w:r>
      <w:r>
        <w:rPr>
          <w:rFonts w:ascii="Times New Roman" w:eastAsia="Times New Roman" w:hAnsi="Times New Roman" w:cs="Times New Roman"/>
          <w:color w:val="000000"/>
          <w:spacing w:val="0"/>
          <w:w w:val="100"/>
          <w:position w:val="0"/>
          <w:shd w:val="clear" w:color="auto" w:fill="auto"/>
          <w:lang w:val="en-US" w:eastAsia="en-US" w:bidi="en-US"/>
        </w:rPr>
        <w:t xml:space="preserve">(New York, 1885). See Schley’s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Forty-five Years under the Flag </w:t>
      </w:r>
      <w:r>
        <w:rPr>
          <w:rFonts w:ascii="Times New Roman" w:eastAsia="Times New Roman" w:hAnsi="Times New Roman" w:cs="Times New Roman"/>
          <w:color w:val="000000"/>
          <w:spacing w:val="0"/>
          <w:w w:val="100"/>
          <w:position w:val="0"/>
          <w:shd w:val="clear" w:color="auto" w:fill="auto"/>
          <w:lang w:val="en-US" w:eastAsia="en-US" w:bidi="en-US"/>
        </w:rPr>
        <w:t>(New York, 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SCHLIEMANN, HEINRICH (1822-1890), German archaeologist, was born on the 6th of January 1822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 Buckow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Mecklenburg-Schwerin, the son of a poor pastor. He has stated in his autobiography that through all his early years of struggle, when he was successively grocer’s apprentice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Fürstenberg,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cabin-boy on the “ Dorothea ” bound for Venezuela, and, after her wreck, office attendant and then book-keeper in Amsterdam, he nourished a passion for the Homeric story and an ambition to become a great linguist. In the end, thanks to an unusually powerful memory and determined energy, he acquired a knowledge of seven or eight tongues besides his own, including ancient and modern Greek. The house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9"/>
          <w:szCs w:val="19"/>
          <w:shd w:val="clear" w:color="auto" w:fill="auto"/>
          <w:lang w:val="en-US" w:eastAsia="en-US" w:bidi="en-US"/>
        </w:rPr>
        <w:t>H. Schröder of Amsterdam sent him in 1846 to St Petersburg, where he established a business of his own and embarked in the indigo trade. He made a fortune at the time of the Crimean War, partly as a military contractor. Happening to be in California when made a state of the Union, in 1850, he became and remained an American citizen. After travels in Greece, Tunisia, India, China and Japan, and writing a short sketch of the last two countries, he took his large fortune to Greece in 1868, and proceeded to visit Homeric sites. In an ensuing book—</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Ithaka,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Peloponnes, und Troja—</w:t>
      </w:r>
      <w:r>
        <w:rPr>
          <w:rFonts w:ascii="Times New Roman" w:eastAsia="Times New Roman" w:hAnsi="Times New Roman" w:cs="Times New Roman"/>
          <w:color w:val="000000"/>
          <w:spacing w:val="0"/>
          <w:w w:val="100"/>
          <w:position w:val="0"/>
          <w:sz w:val="19"/>
          <w:szCs w:val="19"/>
          <w:shd w:val="clear" w:color="auto" w:fill="auto"/>
          <w:lang w:val="en-US" w:eastAsia="en-US" w:bidi="en-US"/>
        </w:rPr>
        <w:t>he propounded two theories which he was destined eventually to test in practice, viz. that Hissarlik, not Bunarbashi, was the site of Troy, and that the Atreid graves, seen by Pausanias at Mycenae, lay within the citadel wall. Two years later he took up Calvert’s work on the former site, and, convinced that Troy must be on the lowest level, hewed his way down, regardless of the upper strata, wherein lay unseen the remains of which he was really in search. By 1873 he had laid bare considerable fortifications and other remains of a burnt city of very great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antiquity, and discovered a treasure of gold jewelry. We now know this city to have belonged to the middle pre-Mycenaean period, long prior to the generation of Homer’s Archaeans; but Schliemann far and wide proclaimed it “ Troy,” and was backed by Gladstone and a large part of the European public. Trying to resume his work in February 1874, he found himself inhibited by the Ottoman government, whose allotted share of the gold treasure had not been satisfactory, and it was not till April 1876 that he obtained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firman.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During the delay he issued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Troy and its Remains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(1875), and betook himself to Mycenae. There in August 1876 he began work in the Dometombs and by the Lion Gate, and opened a large pit just within the citadel. The famous double ring of slabs and certain stone reliefs came to light. Schliemann, thinking it was only a platform levelled as a place of Achaean assembly, paused, and did not resume till November. Then, resolved to explore to the rock, he cleared away some three feet more of earth and stones, and lighted on the five shaft graves which have placed him first among fortunate excavators. A sixth grave was found im- mediately after his departure. The immense treasure of gold, silver, bronze, fine stone and ivory objects, which was buried with the sixteen corpses in this circle, is worth intrinsically more than any treasure-trove known to have been found in any land, and it revealed once for all the character of a great civilization preceding the Hellenic. The find was deposited at Athens, and gradually cleaned and arranged in the Polytechnic; and the discoverer, publishing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Mycenae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English in 1877, had his full share of honours and fame. He had now settled in Athens, where he married a Greek lady, and built two splendid houses, which became centres of Athenian society. In 1878 he dug unsuccessfully in Ithaca, and in the same year and the following resumed work at Hissarlik, and summed up his results in a discursive memoir,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Ilios,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upon which a sequel,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Troja,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issued in 1884, after Wilhelm Dörpfeld, associated in 1882, had intro- duced some archaeological method into the explorations, was a considerable improvement.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1880 and 1881 Schliemann cleared out the ruined dome- tomb of Orchomenus, finding little except remains of its beautiful ceiling; and in 1885, with Dörpfeld, he laid bare the upper stratum on the rock of Tiryns, presenting scholars with a complete ground plan of a Mycenaean palace. This was his last fortunate excavation. While Tsountas, for the Greek Archaeological Society, picked up his work at Mycenae in 1886, and gradually cleared the Acropolis, with notable results, Schliemann tried for traces of the Caesareum at Alexandria, of the Palace of Minos at Knossos, in Crete, and of the Aphrodite temple at Cythera (1888); but he was not successful, meeting in the two former enterprises with a local opposition which his wealth was unable to bear down. In 1889 he entertained at Hissarlik a committee of archaeological experts, deputed to examine Bötticher’s absurd contention that the ruins represented not a city, but a cremation necropolis; and he was contemplating a new and more extensive campaign on the same site when, in December 1890, he was seized at Naples with an illness which ended fatally on the morning of Christmas Day. His great wealth was left mainly to the two families that he had in Russia and Greece; but a sum was reserved for Hissarlik, where Dörpfeld in 1891 and 1892, by clearing away the debris of the former excavations, exposed the great walls of the sixth stratum which Schliemann had called Lydian, and proved their synchronism with Mycenae, and identity with Mycenaean remains; that is to say, with Homer’s Troy, if Troy ever was.</w:t>
      </w:r>
    </w:p>
    <w:p>
      <w:pPr>
        <w:pStyle w:val="Style3"/>
        <w:keepNext w:val="0"/>
        <w:keepLines w:val="0"/>
        <w:widowControl w:val="0"/>
        <w:shd w:val="clear" w:color="auto" w:fill="auto"/>
        <w:tabs>
          <w:tab w:pos="4181"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Schliemann was on several occasions in England, in 1883 to receive honours from the great universities, and in 1886 to confute, at a special gathering of the Hellenic Society, the assertion of Stillman and Penrose that the Tirynthian palace was posterior to the Christian era. Nowhere was he better appreciated, and most of his books were first issued in English.</w:t>
        <w:tab/>
        <w:t>(D. G. 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SCHLIPPE’S SALT, or sodium thioantimoniate, Na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SbS</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·9H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named after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Schlippe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(1799-1867), is prepared by dissolving the calculated quantities of antimony trisulphide, sulphur</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