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Mozart, whose influence over him was always considerable, he wrote nearly all the finest of his compositions in the last ten years of his life. His early symphonies, his early quartets, even his early masses, are too much affected by a traditional style to establish an enduring reputation. It is unfair to call them imitative, but at the time when he wrote them he was saturated with Mozart, and early Beethoven, and he spoke what was in his mind with a boy’s frank- ness. The Andante of the Tragic Symphony (No. 4) strikes a more distinctive note, but the fifth is but a charming adaptation of a past idiom, and the sixth,* on which Schubert himself placed little value, shows hardly any appreciable advance. It is a very different matter when we come to the later works. The piano quintet in A major (1819) may here be taken as the turning-point; then come the Unfinished Symphony, which is pure Schubert in every bar; the three quartets in A minor, D minor,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major, full of romantic colour; the delightful piano trios; the great string quintet; and the C major symphony which, though diffuse, contains many passages of surprising beauty. Every one of them is a masterpiece, and a masterpiece such as Schubert alone could have written. The days of brilliant promise were over and were succeeded by the days of full and mature achievement.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larger operas are marred both by their inordinate length and by their want of dramatic power. The slighter comedies are pretty and tuneful, but, except as curiosities, are not likely to be revived. We may, however, deplore the fate which has deprived the stage of the </w:t>
      </w:r>
      <w:r>
        <w:rPr>
          <w:rFonts w:ascii="Times New Roman" w:eastAsia="Times New Roman" w:hAnsi="Times New Roman" w:cs="Times New Roman"/>
          <w:color w:val="000000"/>
          <w:spacing w:val="0"/>
          <w:w w:val="100"/>
          <w:position w:val="0"/>
          <w:shd w:val="clear" w:color="auto" w:fill="auto"/>
          <w:lang w:val="de-DE" w:eastAsia="de-DE" w:bidi="de-DE"/>
        </w:rPr>
        <w:t xml:space="preserve">Rosamunde </w:t>
      </w:r>
      <w:r>
        <w:rPr>
          <w:rFonts w:ascii="Times New Roman" w:eastAsia="Times New Roman" w:hAnsi="Times New Roman" w:cs="Times New Roman"/>
          <w:color w:val="000000"/>
          <w:spacing w:val="0"/>
          <w:w w:val="100"/>
          <w:position w:val="0"/>
          <w:shd w:val="clear" w:color="auto" w:fill="auto"/>
          <w:lang w:val="en-US" w:eastAsia="en-US" w:bidi="en-US"/>
        </w:rPr>
        <w:t>music. It is in Schubert’s best vein; the en- tractes, the Romance, and the ballets are alike excellent, and it is much to be hoped that a poet will some day arise and fit the music to a new play.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his pianoforte compositions, the sonatas, as might be expected, are the least enduring, though there is not one of them which does not contain some first-rate work. On the other hand his smaller pieces, in which the lyric character is more apparent, are throughout interesting to play and extremely pleasant to hear. He developed a special pianoforte technique of his own—not always “ orthodox,” but always characteristic. A special word should be added on his fondness for piano duets, a form which before his time had been rarely attempted. Of these he wrote a great many—fantasias, marches, polonaises, variations—all bright and melodious with sound texture and a remarkable command of rhythm.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concerted pieces for the voice are often extremely difficult, but they are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rare beauty which would well repay the labour of rehearsal. The 23rd psalm (for female voices) is exquisite; so are the </w:t>
      </w:r>
      <w:r>
        <w:rPr>
          <w:rFonts w:ascii="Times New Roman" w:eastAsia="Times New Roman" w:hAnsi="Times New Roman" w:cs="Times New Roman"/>
          <w:i/>
          <w:iCs/>
          <w:color w:val="000000"/>
          <w:spacing w:val="0"/>
          <w:w w:val="100"/>
          <w:position w:val="0"/>
          <w:shd w:val="clear" w:color="auto" w:fill="auto"/>
          <w:lang w:val="de-DE" w:eastAsia="de-DE" w:bidi="de-DE"/>
        </w:rPr>
        <w:t>Gesang der Geister,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Nachthalle,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Nachtgesang im Walde </w:t>
      </w:r>
      <w:r>
        <w:rPr>
          <w:rFonts w:ascii="Times New Roman" w:eastAsia="Times New Roman" w:hAnsi="Times New Roman" w:cs="Times New Roman"/>
          <w:color w:val="000000"/>
          <w:spacing w:val="0"/>
          <w:w w:val="100"/>
          <w:position w:val="0"/>
          <w:shd w:val="clear" w:color="auto" w:fill="auto"/>
          <w:lang w:val="de-DE" w:eastAsia="de-DE" w:bidi="de-DE"/>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male </w:t>
      </w:r>
      <w:r>
        <w:rPr>
          <w:rFonts w:ascii="Times New Roman" w:eastAsia="Times New Roman" w:hAnsi="Times New Roman" w:cs="Times New Roman"/>
          <w:color w:val="000000"/>
          <w:spacing w:val="0"/>
          <w:w w:val="100"/>
          <w:position w:val="0"/>
          <w:shd w:val="clear" w:color="auto" w:fill="auto"/>
          <w:lang w:val="en-US" w:eastAsia="en-US" w:bidi="en-US"/>
        </w:rPr>
        <w:t xml:space="preserve">voices and horns), and that </w:t>
      </w:r>
      <w:r>
        <w:rPr>
          <w:rFonts w:ascii="Times New Roman" w:eastAsia="Times New Roman" w:hAnsi="Times New Roman" w:cs="Times New Roman"/>
          <w:color w:val="000000"/>
          <w:spacing w:val="0"/>
          <w:w w:val="100"/>
          <w:position w:val="0"/>
          <w:shd w:val="clear" w:color="auto" w:fill="auto"/>
          <w:lang w:val="de-DE" w:eastAsia="de-DE" w:bidi="de-DE"/>
        </w:rPr>
        <w:t xml:space="preserve">“ dewdrop </w:t>
      </w:r>
      <w:r>
        <w:rPr>
          <w:rFonts w:ascii="Times New Roman" w:eastAsia="Times New Roman" w:hAnsi="Times New Roman" w:cs="Times New Roman"/>
          <w:color w:val="000000"/>
          <w:spacing w:val="0"/>
          <w:w w:val="100"/>
          <w:position w:val="0"/>
          <w:shd w:val="clear" w:color="auto" w:fill="auto"/>
          <w:lang w:val="en-US" w:eastAsia="en-US" w:bidi="en-US"/>
        </w:rPr>
        <w:t xml:space="preserve">of celestial melody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Novello has published with English words under the title of “ Where Thou Reignest.” Among all Schubert’s mature works there are none more undeservedly neglected than these.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songs it is impossible, within the present limits, to give even a sketch. They number over 600, excluding scenas and operatic pieces, and they contain masterpieces from the beginning of his career to the end.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Gretchen am </w:t>
      </w:r>
      <w:r>
        <w:rPr>
          <w:rFonts w:ascii="Times New Roman" w:eastAsia="Times New Roman" w:hAnsi="Times New Roman" w:cs="Times New Roman"/>
          <w:i/>
          <w:iCs/>
          <w:color w:val="000000"/>
          <w:spacing w:val="0"/>
          <w:w w:val="100"/>
          <w:position w:val="0"/>
          <w:shd w:val="clear" w:color="auto" w:fill="auto"/>
          <w:lang w:val="de-DE" w:eastAsia="de-DE" w:bidi="de-DE"/>
        </w:rPr>
        <w:t>Spinnrade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written when he was seventeen, </w:t>
      </w:r>
      <w:r>
        <w:rPr>
          <w:rFonts w:ascii="Times New Roman" w:eastAsia="Times New Roman" w:hAnsi="Times New Roman" w:cs="Times New Roman"/>
          <w:i/>
          <w:iCs/>
          <w:color w:val="000000"/>
          <w:spacing w:val="0"/>
          <w:w w:val="100"/>
          <w:position w:val="0"/>
          <w:shd w:val="clear" w:color="auto" w:fill="auto"/>
          <w:lang w:val="de-DE" w:eastAsia="de-DE" w:bidi="de-DE"/>
        </w:rPr>
        <w:t>Erlkönig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he was eighteen; then there follows a continuous stream which never checks or runs dry, and which broadens as it flows to the </w:t>
      </w:r>
      <w:r>
        <w:rPr>
          <w:rFonts w:ascii="Times New Roman" w:eastAsia="Times New Roman" w:hAnsi="Times New Roman" w:cs="Times New Roman"/>
          <w:i/>
          <w:iCs/>
          <w:color w:val="000000"/>
          <w:spacing w:val="0"/>
          <w:w w:val="100"/>
          <w:position w:val="0"/>
          <w:shd w:val="clear" w:color="auto" w:fill="auto"/>
          <w:lang w:val="de-DE" w:eastAsia="de-DE" w:bidi="de-DE"/>
        </w:rPr>
        <w:t>Müllerlieder,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Scott songs, the Shakesperian songs, the </w:t>
      </w:r>
      <w:r>
        <w:rPr>
          <w:rFonts w:ascii="Times New Roman" w:eastAsia="Times New Roman" w:hAnsi="Times New Roman" w:cs="Times New Roman"/>
          <w:i/>
          <w:iCs/>
          <w:color w:val="000000"/>
          <w:spacing w:val="0"/>
          <w:w w:val="100"/>
          <w:position w:val="0"/>
          <w:shd w:val="clear" w:color="auto" w:fill="auto"/>
          <w:lang w:val="de-DE" w:eastAsia="de-DE" w:bidi="de-DE"/>
        </w:rPr>
        <w:t>Winterreise,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de-DE" w:eastAsia="de-DE" w:bidi="de-DE"/>
        </w:rPr>
        <w:t>Schwanengesang.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said to have been undiscriminating in his choice of words. Schu</w:t>
        <w:softHyphen/>
        <w:t xml:space="preserve">mann declared that “ he could set a handbill to music,” and there is no doubt that he was inspired by any lyric which contained, though even in imperfect expression, the germ of a poetic idea. But his finest songs arc almost all to fine poems. He set over 70 of Goethe’s, over 60 of Schiller’s; among the others are the names of Shakespeare and Scott, of Schlegel and Rückert, of </w:t>
      </w:r>
      <w:r>
        <w:rPr>
          <w:rFonts w:ascii="Times New Roman" w:eastAsia="Times New Roman" w:hAnsi="Times New Roman" w:cs="Times New Roman"/>
          <w:color w:val="000000"/>
          <w:spacing w:val="0"/>
          <w:w w:val="100"/>
          <w:position w:val="0"/>
          <w:shd w:val="clear" w:color="auto" w:fill="auto"/>
          <w:lang w:val="de-DE" w:eastAsia="de-DE" w:bidi="de-DE"/>
        </w:rPr>
        <w:t xml:space="preserve">Novalis </w:t>
      </w:r>
      <w:r>
        <w:rPr>
          <w:rFonts w:ascii="Times New Roman" w:eastAsia="Times New Roman" w:hAnsi="Times New Roman" w:cs="Times New Roman"/>
          <w:color w:val="000000"/>
          <w:spacing w:val="0"/>
          <w:w w:val="100"/>
          <w:position w:val="0"/>
          <w:shd w:val="clear" w:color="auto" w:fill="auto"/>
          <w:lang w:val="en-US" w:eastAsia="en-US" w:bidi="en-US"/>
        </w:rPr>
        <w:t xml:space="preserve">and Wilhelm Müller—a list more than sufficient to compensate for the triviality of occasional pieces or the inferior workmanship of personal friends. It was a tragedy that he only lived for a few weeks after the appearance of the </w:t>
      </w:r>
      <w:r>
        <w:rPr>
          <w:rFonts w:ascii="Times New Roman" w:eastAsia="Times New Roman" w:hAnsi="Times New Roman" w:cs="Times New Roman"/>
          <w:i/>
          <w:iCs/>
          <w:color w:val="000000"/>
          <w:spacing w:val="0"/>
          <w:w w:val="100"/>
          <w:position w:val="0"/>
          <w:shd w:val="clear" w:color="auto" w:fill="auto"/>
          <w:lang w:val="de-DE" w:eastAsia="de-DE" w:bidi="de-DE"/>
        </w:rPr>
        <w:t>Buch der 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may </w:t>
      </w:r>
      <w:r>
        <w:rPr>
          <w:rFonts w:ascii="Times New Roman" w:eastAsia="Times New Roman" w:hAnsi="Times New Roman" w:cs="Times New Roman"/>
          <w:color w:val="000000"/>
          <w:spacing w:val="0"/>
          <w:w w:val="100"/>
          <w:position w:val="0"/>
          <w:shd w:val="clear" w:color="auto" w:fill="auto"/>
          <w:lang w:val="fr-FR" w:eastAsia="fr-FR" w:bidi="fr-FR"/>
        </w:rPr>
        <w:t xml:space="preserve">conjecture </w:t>
      </w:r>
      <w:r>
        <w:rPr>
          <w:rFonts w:ascii="Times New Roman" w:eastAsia="Times New Roman" w:hAnsi="Times New Roman" w:cs="Times New Roman"/>
          <w:color w:val="000000"/>
          <w:spacing w:val="0"/>
          <w:w w:val="100"/>
          <w:position w:val="0"/>
          <w:shd w:val="clear" w:color="auto" w:fill="auto"/>
          <w:lang w:val="en-US" w:eastAsia="en-US" w:bidi="en-US"/>
        </w:rPr>
        <w:t>what the world would have gained if he had found the lull complement of his art in Heine.</w:t>
      </w:r>
    </w:p>
    <w:p>
      <w:pPr>
        <w:pStyle w:val="Style3"/>
        <w:keepNext w:val="0"/>
        <w:keepLines w:val="0"/>
        <w:widowControl w:val="0"/>
        <w:shd w:val="clear" w:color="auto" w:fill="auto"/>
        <w:tabs>
          <w:tab w:pos="392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earlier songs he is more affected by the external and pictorial aspect of the poem; in the later ones he penetrates to the centre and seizes the poetic conception from within. But in both alike he shows a gift of absolute melody which, even apart from its meaning, would be inestimable. Neither Handel nor Mozart—his two great predecessors in lyric tune—have surpassed or even approached him in fertility and variety of resource. The songs in </w:t>
      </w:r>
      <w:r>
        <w:rPr>
          <w:rFonts w:ascii="Times New Roman" w:eastAsia="Times New Roman" w:hAnsi="Times New Roman" w:cs="Times New Roman"/>
          <w:i/>
          <w:iCs/>
          <w:color w:val="000000"/>
          <w:spacing w:val="0"/>
          <w:w w:val="100"/>
          <w:position w:val="0"/>
          <w:shd w:val="clear" w:color="auto" w:fill="auto"/>
          <w:lang w:val="en-US" w:eastAsia="en-US" w:bidi="en-US"/>
        </w:rPr>
        <w:t>Acis</w:t>
      </w:r>
      <w:r>
        <w:rPr>
          <w:rFonts w:ascii="Times New Roman" w:eastAsia="Times New Roman" w:hAnsi="Times New Roman" w:cs="Times New Roman"/>
          <w:color w:val="000000"/>
          <w:spacing w:val="0"/>
          <w:w w:val="100"/>
          <w:position w:val="0"/>
          <w:shd w:val="clear" w:color="auto" w:fill="auto"/>
          <w:lang w:val="en-US" w:eastAsia="en-US" w:bidi="en-US"/>
        </w:rPr>
        <w:t xml:space="preserve"> are wonderful ; - so are those in </w:t>
      </w:r>
      <w:r>
        <w:rPr>
          <w:rFonts w:ascii="Times New Roman" w:eastAsia="Times New Roman" w:hAnsi="Times New Roman" w:cs="Times New Roman"/>
          <w:i/>
          <w:iCs/>
          <w:color w:val="000000"/>
          <w:spacing w:val="0"/>
          <w:w w:val="100"/>
          <w:position w:val="0"/>
          <w:shd w:val="clear" w:color="auto" w:fill="auto"/>
          <w:lang w:val="en-US" w:eastAsia="en-US" w:bidi="en-US"/>
        </w:rPr>
        <w:t>Zauberflöte,</w:t>
      </w:r>
      <w:r>
        <w:rPr>
          <w:rFonts w:ascii="Times New Roman" w:eastAsia="Times New Roman" w:hAnsi="Times New Roman" w:cs="Times New Roman"/>
          <w:color w:val="000000"/>
          <w:spacing w:val="0"/>
          <w:w w:val="100"/>
          <w:position w:val="0"/>
          <w:shd w:val="clear" w:color="auto" w:fill="auto"/>
          <w:lang w:val="en-US" w:eastAsia="en-US" w:bidi="en-US"/>
        </w:rPr>
        <w:t xml:space="preserve"> but they are not so wonderful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Litaney, </w:t>
      </w:r>
      <w:r>
        <w:rPr>
          <w:rFonts w:ascii="Times New Roman" w:eastAsia="Times New Roman" w:hAnsi="Times New Roman" w:cs="Times New Roman"/>
          <w:color w:val="000000"/>
          <w:spacing w:val="0"/>
          <w:w w:val="100"/>
          <w:position w:val="0"/>
          <w:shd w:val="clear" w:color="auto" w:fill="auto"/>
          <w:lang w:val="en-US" w:eastAsia="en-US" w:bidi="en-US"/>
        </w:rPr>
        <w:t xml:space="preserve">and “ Who is Sylvia?” and the </w:t>
      </w:r>
      <w:r>
        <w:rPr>
          <w:rFonts w:ascii="Times New Roman" w:eastAsia="Times New Roman" w:hAnsi="Times New Roman" w:cs="Times New Roman"/>
          <w:i/>
          <w:iCs/>
          <w:color w:val="000000"/>
          <w:spacing w:val="0"/>
          <w:w w:val="100"/>
          <w:position w:val="0"/>
          <w:shd w:val="clear" w:color="auto" w:fill="auto"/>
          <w:lang w:val="de-DE" w:eastAsia="de-DE" w:bidi="de-DE"/>
        </w:rPr>
        <w:t>Ständchen.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Schubert we owe the introduction into music of a particular quality of romance, a particular "addition of strangeness to beauty”; and so long as the art remains his place among its supreme masters is undoubtedly assured.</w:t>
        <w:tab/>
        <w:t xml:space="preserve">(W. H. </w:t>
      </w:r>
      <w:r>
        <w:rPr>
          <w:rFonts w:ascii="Times New Roman" w:eastAsia="Times New Roman" w:hAnsi="Times New Roman" w:cs="Times New Roman"/>
          <w:smallCaps/>
          <w:color w:val="000000"/>
          <w:spacing w:val="0"/>
          <w:w w:val="100"/>
          <w:position w:val="0"/>
          <w:shd w:val="clear" w:color="auto" w:fill="auto"/>
          <w:lang w:val="en-US" w:eastAsia="en-US" w:bidi="en-US"/>
        </w:rPr>
        <w:t>Ha.)</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SCHÜCKING, LEVIN (1814-1883), German novelist, was born on the estate of Klemenswerth, near Meppen, in Westphalia, on the 6th of September 1814. After studying law at Munich, Heidelberg and Göttingen, he wished to enter the government judicial service, but, confronted by serious difficulties, abandoned the legal career, and settling at Münster in 1837, devoted himself</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literary work. In 1841 he removed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Schloss Meersburg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Lake of Constance, joined in 1843 the editorial staff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Allgemeine Zeitung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Augsburg, and in 1845 that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Kölnische Zeitung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Cologne. In 1852 he retired to his estate,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Sassenberg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Münster, and died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Pyrmont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August 1883. Among his numerous romances, which are distinguished by good taste and patriotic feeling, largely reflect</w:t>
        <w:softHyphen/>
        <w:t xml:space="preserve">ing the sound, sturdy character of the Westphalians, must be especially mentioned: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Ein Schloss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 Meer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Sohn des Volkes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(1849);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Ein Staatsgeheimnis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(1854);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Ver</w:t>
        <w:softHyphen/>
        <w:t>schlungene Wege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(1867);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Die Herberge der Gerechtigkeit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(1879).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Schücking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wrote a number of short stories: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den Tagen der grossen Kaiserin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Neue Novellen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(1877).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Annette von Droste-Hülshoff (q.v.)</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(1862) he gives a sketch of this poet and acknowledges his indebtedness to her beneficial influence upon his mind. There appeared posthumously,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Lebenserin</w:t>
        <w:softHyphen/>
        <w:t>nerungen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(1886)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Briefe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von Annette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von Droste-Hülshoff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Levin Schücking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(1893). His wife,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Luise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(1815-1855), daughter of the General Freiherr von Gall, in the Hessian service, published some novels and romances of considerable merit. Among the latter may be mentioned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Gegen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den Strom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(1851)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neue Kreuzritter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(1853).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Schücking’s </w:t>
      </w:r>
      <w:r>
        <w:rPr>
          <w:rFonts w:ascii="Times New Roman" w:eastAsia="Times New Roman" w:hAnsi="Times New Roman" w:cs="Times New Roman"/>
          <w:i/>
          <w:iCs/>
          <w:color w:val="000000"/>
          <w:spacing w:val="0"/>
          <w:w w:val="100"/>
          <w:position w:val="0"/>
          <w:shd w:val="clear" w:color="auto" w:fill="auto"/>
          <w:lang w:val="de-DE" w:eastAsia="de-DE" w:bidi="de-DE"/>
        </w:rPr>
        <w:t>Gesammelte Erzählungen und Novellen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(1859-1866); </w:t>
      </w:r>
      <w:r>
        <w:rPr>
          <w:rFonts w:ascii="Times New Roman" w:eastAsia="Times New Roman" w:hAnsi="Times New Roman" w:cs="Times New Roman"/>
          <w:i/>
          <w:iCs/>
          <w:color w:val="000000"/>
          <w:spacing w:val="0"/>
          <w:w w:val="100"/>
          <w:position w:val="0"/>
          <w:shd w:val="clear" w:color="auto" w:fill="auto"/>
          <w:lang w:val="de-DE" w:eastAsia="de-DE" w:bidi="de-DE"/>
        </w:rPr>
        <w:t>Ausgewählte Romane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1864; 2nd series,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1874-1876).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SCHULTENS,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name of three Dutch Orientalists. The first and most important,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Albert Schultens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(1686-1750), was born at Groningen. He studied for the church at Groningen and Leiden, applying himself specially to Hebrew and the cognate tongues. His dissertation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Use of Arabic in the Interpretation of Scripture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appeared in 1706. After a visit to Reland in Utrecht he returned to Groningen (1708); then, having taken his degree in theology (1709), he again went to Leiden, and devoted himself to the study of the MS. collections there till in 1711 he became pastor at Wassenaer. Disliking parochial work, in 1713 he took the Hebrew chair at Franeker, which he held till 1729, when he was transferred to Leiden as rector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collegium theologicum,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seminary for poor students. From 1732 till his death (at Leiden on the 26th of January 1750) he was professor of Oriental languages at Leiden. Schultens was the chief Arabic teacher of his time, and in some sense a restorer of Arabic studies, but he differed from J. J. Reiske and A. 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Sacy in mainly regarding Arabic as a handmaid to Hebrew. He vindicated the value of comparative study of the Semitic tongues against those who, like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Gousset,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regarded Hebrew as a sacred tongue with which comparative philology has nothing to do. His principal works were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Origines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Hebraeae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vols., 1724, 1738), a second edition of which, with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defectibus linguae Hebraeae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(1731), appeared in 1761;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Job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(1737);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Proverbs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(1748);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Velus 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regia via hebraezandi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(1738);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Monumenta vetustiora Arabum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(1740), &amp;c.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John James Schultens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(1716-1778), became professor at Herborn in 1742, and afterwards succeeded to his father’s chair. He was in turn succeeded by his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Henry Albert Schultens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(1749-1793). who, however, left comparatively little behind him, having succumbed to excessive work while preparing an edition of Meidani, of which only a part appeared posthumously (1795).</w:t>
      </w:r>
    </w:p>
    <w:p>
      <w:pPr>
        <w:pStyle w:val="Style3"/>
        <w:keepNext w:val="0"/>
        <w:keepLines w:val="0"/>
        <w:widowControl w:val="0"/>
        <w:shd w:val="clear" w:color="auto" w:fill="auto"/>
        <w:tabs>
          <w:tab w:pos="3184"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SCHULTZ, HERMANN (1836-</w:t>
        <w:tab/>
        <w:t>), German Protestant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theologian, was bom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Lüchow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Hanover on the 30th of December 1836. He studied at Göttingen and Erlangen, became professor at Basel in 1864, and eventually (1876)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professor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Ordinarius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Göttingen. Here he has also held the appointments of chief university preacher, councillor to the consistory (from 1881) and abbot of Bursfelde (1890). Professor Schultz’s theological standpoint was that of a moderate liberal. “ It is thought by many that he has succeeded in discovering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via media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between the positions of Biblical scholars like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one hand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Stade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other ” (Prof. J. A. Paterson). He is well known to British and American students as the author of an excellent work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Old Testament Theology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vols., 1869, 5th ed., 1896; Eng. trans., 2nd ed., 1895).</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