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morally hostile,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gained some minor successes by skilful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without a great battle; afterwards, under instructions from Napoleon, he remained for some months inactive at Pultusk. In 1813, when Austria, after many hesita- tions, took the side of the allies against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Napoleon, 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recently promoted to be field marshal, was appointed com</w:t>
        <w:softHyphen/>
        <w:t xml:space="preserve">mander-in-chief of the allied Grand Army of Bohemia. As such he was the senior of the allied generals who conducted the campaign of 1813-1814 to the final victory before Paris and the overthrow of Napoleon. It is the fashion to accuse Schwarzenberg of timidity and over-caution, and his operations can easily be made to appear in that colour when contrasted with those of his principal subordinate, the fiery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Blücher,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critics often forget that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an Austrian general first of all, that his army was practically the whole force that Austria could put into the field in Central Europe, and was therefore not lightly to be risked, and that the motives of his pusillanimity should be sought in the political archives of Vienna rather than in the text-books of strategical theory. In any case his victory, how- ever achieved, was as complete as Austria desired, and his rewards were many, the grand crosses of the Maria Theresa and of many foreign orders, an estate, the position of president of the Hofkriegsrath, and, as a specially remarkable honour, the right to bear the arms of Austria as an escutcheon of pretence. But shortly afterwards, having lost his sister Caroline, to whom he was deeply attached, he fell ill. A stroke of paralysis disabled him in 1817, and in 1820, when revisiting Leipzig, the scene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Völkers</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chlacht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he had directed seven years before, he was attacked by a second stroke. He died there on the 15th of October.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eldest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Friedrich, Prince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zu Schwarzenberg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(1800- 1870), had an adventurous career as a soldier, and described his wanderings and campaigns in several interesting works, of which the best known is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Wanderungen eines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Lanzkneehtes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(1844-1845). He took part as an Austrian officer in the campaigns of Galicia 1846, Italy 1848 and Hungary 1848, and as an amateur in the French conquest of Algeria, the Carlist wars in Spain and the Swiss civil war of the Sonderbund. He became a major- general in the Austrian army in 1849, and died after many years of well-filled leisure in 1870. The second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Karl Philipp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1858), was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Feldzeugmeister;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third,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Edmund Leopold Friedrich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(1803-1873), a field marshal in the Austrian army. Of Schwarzenberg’s nephews, Felix, the statesman, is separately noticed,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Friedrich Johann Josef Coelestin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(1809-1885) was a cardinal and a prominent figure in papal and Austrian history.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Prokesch-Osten, </w:t>
      </w:r>
      <w:r>
        <w:rPr>
          <w:rFonts w:ascii="Times New Roman" w:eastAsia="Times New Roman" w:hAnsi="Times New Roman" w:cs="Times New Roman"/>
          <w:i/>
          <w:iCs/>
          <w:color w:val="000000"/>
          <w:spacing w:val="0"/>
          <w:w w:val="100"/>
          <w:position w:val="0"/>
          <w:shd w:val="clear" w:color="auto" w:fill="auto"/>
          <w:lang w:val="de-DE" w:eastAsia="de-DE" w:bidi="de-DE"/>
        </w:rPr>
        <w:t>Denkwürdigkeiten aus dem Leben des Feldmarschall's Fürsten Schwarzenberg</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1823); </w:t>
      </w:r>
      <w:r>
        <w:rPr>
          <w:rFonts w:ascii="Times New Roman" w:eastAsia="Times New Roman" w:hAnsi="Times New Roman" w:cs="Times New Roman"/>
          <w:color w:val="000000"/>
          <w:spacing w:val="0"/>
          <w:w w:val="100"/>
          <w:position w:val="0"/>
          <w:shd w:val="clear" w:color="auto" w:fill="auto"/>
          <w:lang w:val="de-DE" w:eastAsia="de-DE" w:bidi="de-DE"/>
        </w:rPr>
        <w:t xml:space="preserve">Berger, </w:t>
      </w:r>
      <w:r>
        <w:rPr>
          <w:rFonts w:ascii="Times New Roman" w:eastAsia="Times New Roman" w:hAnsi="Times New Roman" w:cs="Times New Roman"/>
          <w:i/>
          <w:iCs/>
          <w:color w:val="000000"/>
          <w:spacing w:val="0"/>
          <w:w w:val="100"/>
          <w:position w:val="0"/>
          <w:shd w:val="clear" w:color="auto" w:fill="auto"/>
          <w:lang w:val="de-DE" w:eastAsia="de-DE" w:bidi="de-DE"/>
        </w:rPr>
        <w:t>Das Fürstenhaus Schwarzenberg</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1866), and a memoir by the same hand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Streffleur's Öst.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Militärzeitschrift, </w:t>
      </w:r>
      <w:r>
        <w:rPr>
          <w:rFonts w:ascii="Times New Roman" w:eastAsia="Times New Roman" w:hAnsi="Times New Roman" w:cs="Times New Roman"/>
          <w:i/>
          <w:iCs/>
          <w:color w:val="000000"/>
          <w:spacing w:val="0"/>
          <w:w w:val="100"/>
          <w:position w:val="0"/>
          <w:shd w:val="clear" w:color="auto" w:fill="auto"/>
          <w:lang w:val="en-US" w:eastAsia="en-US" w:bidi="en-US"/>
        </w:rPr>
        <w:t>1863.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kingdom of Saxony, situated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Schwarzwasser,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16 m. W. from Annaberg by rail. Pop. (1905) 4629. It has a handsome parish church, an old palace and some schools. It has some small industries and there are large iron-works in the vicinity.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SCHWECHAT,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market-town of Austria, in Lower Austria, 5 m. S.E. of Vienna by rail. Pop. (1900) 8241. Here is situated the Dreher brewery, the largest in the monarchy; and there are also important smelting and iron works, cotton-spinning, factories of electrical plant, &amp;c. The meeting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Schwechat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emperor Leopold I. with Sobieski in 1683, after the liberation of Vienna, is commemorated by an obelisk. The imperial troops defeated the Hungarian insurgents in a battle fought here in October 1848.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Prussian province of Brandenburg, on the left bank of the Oder, 13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N.E. from Angermünde by rail. Pop. (1905) 9530. It is a pleasant, well- built town, with broad streets and shady avenues. There are three Evangelical churches, a Roman Catholic church, a palace, built in 1580, and a gymnasium. The royal riding school was removed hence to Hanover in 1867. The industries include the manufacture of tobacco, cigars, machinery, vinegar, soap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bricks, and there is a considerable trade by water in agricul</w:t>
        <w:softHyphen/>
        <w:t>tural produce.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mentioned in chronicles as early as 1138, and became a town in 1265. Towards the end of the 15th century it passed to Brandenburg, and, in 1684, after a great conflagration which laid it in ruins, was handsomely rebuilt by the electress Dorothea. The lordship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in the possession of the counts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Hohenstein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1481 to 1609, when it passed to Brandenburg. In 1689 it was given to Philip William, a younger son of the elector of Brandenburg, Frederick William, and he and his successors called themselves margrave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Brandenburg- Schwedt.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When this line became extinct in 1784 the lordship reverted to Prussia, being claimed both by the king as personal property and by the state. The matter was not settled until 1872, when it was assigned to the state.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Thomä,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 und Herrschaft Schwedt</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SCHWEGLER, ALBERT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(1819-1857),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philosopher and theologian,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Michelbach in Württemberg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10th of February 1819, the son of 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country pastor. He entered the university of Tübingen in 1836, and was one of the earliest pupils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Baur, under whose influence he devoted himself to church history. His first work was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Montanismus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 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christliche Kirche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2len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Jahrhunderts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pointed out for the first time that Montanism was much more than an isolated outbreak of eccentric fanaticism in the early church, though he himself introduced fresh misconceptions by connecting it with Ebionitism as he conceived the latter. This work, with other essays, brought him into conflict with the authorities of the church, in consequence of which he gave up theology as his professional study and chose that of philosophy. In 1843 he founded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Jahrbücher der Gegenwart,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became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Privatdozent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philosophy and classical philology in Tübingen university. In 1848 he was made professor extraordinarius of Roman literature and archaeology, and soon afterwards professor ordinarius of history. He died on the 5th of January 1857.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principal theological work was.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nachapostolische Zeitalter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1846). It was this book which first put before the world, with </w:t>
      </w:r>
      <w:r>
        <w:rPr>
          <w:rFonts w:ascii="Times New Roman" w:eastAsia="Times New Roman" w:hAnsi="Times New Roman" w:cs="Times New Roman"/>
          <w:color w:val="000000"/>
          <w:spacing w:val="0"/>
          <w:w w:val="100"/>
          <w:position w:val="0"/>
          <w:shd w:val="clear" w:color="auto" w:fill="auto"/>
          <w:lang w:val="de-DE" w:eastAsia="de-DE" w:bidi="de-DE"/>
        </w:rPr>
        <w:t>Schwegler'</w:t>
      </w:r>
      <w:r>
        <w:rPr>
          <w:rFonts w:ascii="Times New Roman" w:eastAsia="Times New Roman" w:hAnsi="Times New Roman" w:cs="Times New Roman"/>
          <w:color w:val="000000"/>
          <w:spacing w:val="0"/>
          <w:w w:val="100"/>
          <w:position w:val="0"/>
          <w:shd w:val="clear" w:color="auto" w:fill="auto"/>
          <w:lang w:val="en-US" w:eastAsia="en-US" w:bidi="en-US"/>
        </w:rPr>
        <w:t xml:space="preserve">s characteristic boldness and clearness, the results of the critical labours of the earlier representatives of the new Tübingen school in relation to the first development of Christianity. Schwegler published also an edition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Clementine Homilies </w:t>
      </w:r>
      <w:r>
        <w:rPr>
          <w:rFonts w:ascii="Times New Roman" w:eastAsia="Times New Roman" w:hAnsi="Times New Roman" w:cs="Times New Roman"/>
          <w:color w:val="000000"/>
          <w:spacing w:val="0"/>
          <w:w w:val="100"/>
          <w:position w:val="0"/>
          <w:shd w:val="clear" w:color="auto" w:fill="auto"/>
          <w:lang w:val="en-US" w:eastAsia="en-US" w:bidi="en-US"/>
        </w:rPr>
        <w:t xml:space="preserve">(1847), and of Eusebius’s </w:t>
      </w:r>
      <w:r>
        <w:rPr>
          <w:rFonts w:ascii="Times New Roman" w:eastAsia="Times New Roman" w:hAnsi="Times New Roman" w:cs="Times New Roman"/>
          <w:i/>
          <w:iCs/>
          <w:color w:val="000000"/>
          <w:spacing w:val="0"/>
          <w:w w:val="100"/>
          <w:position w:val="0"/>
          <w:shd w:val="clear" w:color="auto" w:fill="auto"/>
          <w:lang w:val="en-US" w:eastAsia="en-US" w:bidi="en-US"/>
        </w:rPr>
        <w:t>Ecclesiastical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(1852) ; in philosohpy </w:t>
      </w:r>
      <w:r>
        <w:rPr>
          <w:rFonts w:ascii="Times New Roman" w:eastAsia="Times New Roman" w:hAnsi="Times New Roman" w:cs="Times New Roman"/>
          <w:i/>
          <w:iCs/>
          <w:color w:val="000000"/>
          <w:spacing w:val="0"/>
          <w:w w:val="100"/>
          <w:position w:val="0"/>
          <w:shd w:val="clear" w:color="auto" w:fill="auto"/>
          <w:lang w:val="de-DE" w:eastAsia="de-DE" w:bidi="de-DE"/>
        </w:rPr>
        <w:t>Übersetzung und Erläuterung der aristot. Metaphysik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1847 - 1848), his excellent </w:t>
      </w:r>
      <w:r>
        <w:rPr>
          <w:rFonts w:ascii="Times New Roman" w:eastAsia="Times New Roman" w:hAnsi="Times New Roman" w:cs="Times New Roman"/>
          <w:i/>
          <w:iCs/>
          <w:color w:val="000000"/>
          <w:spacing w:val="0"/>
          <w:w w:val="100"/>
          <w:position w:val="0"/>
          <w:shd w:val="clear" w:color="auto" w:fill="auto"/>
          <w:lang w:val="de-DE" w:eastAsia="de-DE" w:bidi="de-DE"/>
        </w:rPr>
        <w:t>Geschichte der Philosophie im Umriss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14th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1887; loth edition of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trans. by J</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Hutchison </w:t>
      </w:r>
      <w:r>
        <w:rPr>
          <w:rFonts w:ascii="Times New Roman" w:eastAsia="Times New Roman" w:hAnsi="Times New Roman" w:cs="Times New Roman"/>
          <w:color w:val="000000"/>
          <w:spacing w:val="0"/>
          <w:w w:val="100"/>
          <w:position w:val="0"/>
          <w:shd w:val="clear" w:color="auto" w:fill="auto"/>
          <w:lang w:val="fr-FR" w:eastAsia="fr-FR" w:bidi="fr-FR"/>
        </w:rPr>
        <w:t xml:space="preserve">Stirling, </w:t>
      </w:r>
      <w:r>
        <w:rPr>
          <w:rFonts w:ascii="Times New Roman" w:eastAsia="Times New Roman" w:hAnsi="Times New Roman" w:cs="Times New Roman"/>
          <w:color w:val="000000"/>
          <w:spacing w:val="0"/>
          <w:w w:val="100"/>
          <w:position w:val="0"/>
          <w:shd w:val="clear" w:color="auto" w:fill="auto"/>
          <w:lang w:val="en-US" w:eastAsia="en-US" w:bidi="en-US"/>
        </w:rPr>
        <w:t xml:space="preserve">1888),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posthumous </w:t>
      </w:r>
      <w:r>
        <w:rPr>
          <w:rFonts w:ascii="Times New Roman" w:eastAsia="Times New Roman" w:hAnsi="Times New Roman" w:cs="Times New Roman"/>
          <w:i/>
          <w:iCs/>
          <w:color w:val="000000"/>
          <w:spacing w:val="0"/>
          <w:w w:val="100"/>
          <w:position w:val="0"/>
          <w:shd w:val="clear" w:color="auto" w:fill="auto"/>
          <w:lang w:val="de-DE" w:eastAsia="de-DE" w:bidi="de-DE"/>
        </w:rPr>
        <w:t>Geschichte der Griech. 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color w:val="000000"/>
          <w:spacing w:val="0"/>
          <w:w w:val="100"/>
          <w:position w:val="0"/>
          <w:shd w:val="clear" w:color="auto" w:fill="auto"/>
          <w:lang w:val="de-DE" w:eastAsia="de-DE" w:bidi="de-DE"/>
        </w:rPr>
        <w:t xml:space="preserve">ln </w:t>
      </w:r>
      <w:r>
        <w:rPr>
          <w:rFonts w:ascii="Times New Roman" w:eastAsia="Times New Roman" w:hAnsi="Times New Roman" w:cs="Times New Roman"/>
          <w:color w:val="000000"/>
          <w:spacing w:val="0"/>
          <w:w w:val="100"/>
          <w:position w:val="0"/>
          <w:shd w:val="clear" w:color="auto" w:fill="auto"/>
          <w:lang w:val="en-US" w:eastAsia="en-US" w:bidi="en-US"/>
        </w:rPr>
        <w:t xml:space="preserve">history he began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Römische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i.-iii., 1853-1858,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1867-1872), which he brought down only to the laws of Licinius.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Edward Zeller, </w:t>
      </w:r>
      <w:r>
        <w:rPr>
          <w:rFonts w:ascii="Times New Roman" w:eastAsia="Times New Roman" w:hAnsi="Times New Roman" w:cs="Times New Roman"/>
          <w:i/>
          <w:iCs/>
          <w:color w:val="000000"/>
          <w:spacing w:val="0"/>
          <w:w w:val="100"/>
          <w:position w:val="0"/>
          <w:shd w:val="clear" w:color="auto" w:fill="auto"/>
          <w:lang w:val="de-DE" w:eastAsia="de-DE" w:bidi="de-DE"/>
        </w:rPr>
        <w:t>Vorträge,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ii. (1878),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329-363; and the </w:t>
      </w:r>
      <w:r>
        <w:rPr>
          <w:rFonts w:ascii="Times New Roman" w:eastAsia="Times New Roman" w:hAnsi="Times New Roman" w:cs="Times New Roman"/>
          <w:i/>
          <w:iCs/>
          <w:color w:val="000000"/>
          <w:spacing w:val="0"/>
          <w:w w:val="100"/>
          <w:position w:val="0"/>
          <w:shd w:val="clear" w:color="auto" w:fill="auto"/>
          <w:lang w:val="de-DE" w:eastAsia="de-DE" w:bidi="de-DE"/>
        </w:rPr>
        <w:t>Allgemeine deutsche Biographie.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Prussian province of Silesia, picturesquely situated on the left bank of the Weistritz, 28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S.W. of Breslau by rail. Pop. (1905) 30,540. The town has wide streets and contains several old churches, one of which, a Roman Catholic church, built in the 14th century, has a tower 330 ft. high. It has an old town hall, a theatre and several statues of eminent men. The surrounding country is fertile and highly cultivated, and the large quantities of flax and hemp there raised encourage an active weaving industry in the town. Beetroot for sugar, grain and fruit are also grown. The manufacture of woollens, linens, hosiery, furniture, gloves, paper, machinery and tools, carriages, nuts and screws, needles and other hardware goods is carried on. The beer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long been famous under the name of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 Schöps,”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the 16th centurý it was exported as far as Italy.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the chief grain market of the district.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dating from about the 11th century, received civic rights in 1250. About 1278 it became the capital of a principality, with an area of about 1000 sq. m., which belonged to Bohemia from 1353 till 1741, when it passed into the possession of Prussia. The “ Pölerei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is the name given to the riotous revolt of the town, in 1520-1522, against a royal edict depriving it of the right of coining its own money. One of</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