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the composer Schubert, whose songs he illustrated. In 1828 he removed to Munich, and had the advantage of the friendship of the painter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Schnorr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guidance of Cornelius, then director of the academy. In 1834 he received the commission to decorate King Ludwig’s new palace with wall paintings illustrative of the poet Tieck. He also found in the same place congenial sport for his fancy in a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Kinderfries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his ready hand was likewise busy on almanacs, &amp;c., and by his illustrations to Goethe and other writers he gained applause and much employment. In the revival of art in Germany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Schwind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held as his own the sphere of poetic fancy. To him was' entrusted in 1839, in the new Carlsruhe academy, the embodiment in fresco of ideas thrown out by Goethe; he decorated a villa at Leipzig with the story of Cupid and Psyche, and further justified his title of poet-painter by designs from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Niebelungenlied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Tasso’s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Gerusalemme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the walls of the castle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Hohen</w:t>
        <w:softHyphen/>
        <w:t xml:space="preserve">schwangau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Bavarian Tirol. From the year 1844 dates his residence in Frankfort; to this period belong some of the best easel pictures, pre-eminently the Singers’ Contest in the Wartburg (1846), also designs for the Goethe celebration, likewise numerous book illustrations. The conceptions for the most part are better than the execution. In 1847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Schwind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returned to Munich on being appointed professor in the academy. Eight years later his fame was at its height on the completion in the castle of the Wartburg of wall pictures illustrative of the Singers’ Contest and of the history of Elizabeth of Hungary. The compositions received universal praise, and at a grand musical festival in their honour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Schwind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himself played among the violins. In 1857 appeared his exceptionally mature “ cyclus ” of the Seven Ravens from Grimm’s fairy stories. In the same year he visited England to report officially to King Ludwig on the Manchester art treasures. And so diversified were his gifts that he turned his hand to church windows and joined his old friend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Schnorr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designs for the painted glass in Glasgow cathedral. Towards the close of his career, with broken health and powers on the wane, he revisited Vienna. To this time belong the “ cyclus ” from the legend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Melusine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the designs commemorative of chief musicians which decorate the foyer of the new opera house. Cornelius writes, “ You have here translated the joyous</w:t>
        <w:softHyphen/>
        <w:t xml:space="preserve">ness of music into pictorial art.” Schwind’s genius was lyrical ; he drew inspiration from chivalry, folk-lore, and the songs of the people; his art was decorative, but lacked scholastic training and technical skill.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Schwind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died at Munich in 1871, and was buried in the old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Friedhof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the same town.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SCHWYZ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(modern spelling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Schwiz),</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one of the forest cantons of central Switzerland. Its total area is 350·5 sq. m., of which 293·6 sq. m. are reckoned as “ productive ” (forests covering 64∙9 sq. m. and vineyards ∙17 sq. m.), while of the rest 21¼ sq. m. are occupied by lakes (nearly 9 sq. m. of that of Zürich, 8¾ sq. m. of that of Lucerne, 3¾ sq. m. of that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Zug,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whole of the lake of Lowerz), and ∙5 sq. m. is covered by glaciers. Its loftiest point is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Böser Faulen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(9200 ft.), while the two highest summits of the Rigi (the Kulm, 5906 ft., and the Scheidegg, 5463 ft.) rise within its borders. The canton extends from the upper end of the lake of Zürich on the north to the middle reach of the lake of Lucerne on the south; on the west it touches at Küssnacht, the northern arm of the same lake, and in the same direction the lake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Zug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Arth, mountain ridges dividing it from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Glarus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east and from Uri on the south. It is made up of two main valleys, those of the Muota, flowing through the older portion of the canton to the lake of Lucerne, and of the Sihl that passes near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Einsiedeln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its way to Zürich. Less important are the Aa, that waters the Wäggi glen before joining the lake of Zürich, and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Biber,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receives the Alpbach that flows past Einsiedeln. It is thus a hilly rather than a mountainous region, and is all but wholly devoted to pastoral pursuits. It has not many railways, the principal being that portion of the main 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Gotthard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line between Küssnacht and Sisikon (about 20 m.), while from Arth-Goldau a line runs past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Biberbrücke </w:t>
      </w:r>
      <w:r>
        <w:rPr>
          <w:rFonts w:ascii="Times New Roman" w:eastAsia="Times New Roman" w:hAnsi="Times New Roman" w:cs="Times New Roman"/>
          <w:color w:val="000000"/>
          <w:spacing w:val="0"/>
          <w:w w:val="100"/>
          <w:position w:val="0"/>
          <w:sz w:val="19"/>
          <w:szCs w:val="19"/>
          <w:shd w:val="clear" w:color="auto" w:fill="auto"/>
          <w:lang w:val="en-US" w:eastAsia="en-US" w:bidi="en-US"/>
        </w:rPr>
        <w:t>(where falls in the branch from Einsiedeln, 3 m.) towards Wädenswil. From Arth-Goldau a mountain line runs up to the Rigi Kulm, with a branch to the Rigi Scheidegg,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while from Arth-Goldau the line towards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Zug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runs for 5½ m. within the canton. There is also a mountain fine from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Brunnen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Axenstein. In 1900 the population was 55,385, of whom 53,834 were German-speaking, 1108 Italian-speaking, and 296 French-speaking, while 53,537 were Romanists, 1836 Protestants and 9 Jews. The most populous town is Einsiedeln, with its famous Benedictine monastery, but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Schwyz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port of which is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Brunnen) </w:t>
      </w:r>
      <w:r>
        <w:rPr>
          <w:rFonts w:ascii="Times New Roman" w:eastAsia="Times New Roman" w:hAnsi="Times New Roman" w:cs="Times New Roman"/>
          <w:color w:val="000000"/>
          <w:spacing w:val="0"/>
          <w:w w:val="100"/>
          <w:position w:val="0"/>
          <w:sz w:val="19"/>
          <w:szCs w:val="19"/>
          <w:shd w:val="clear" w:color="auto" w:fill="auto"/>
          <w:lang w:val="en-US" w:eastAsia="en-US" w:bidi="en-US"/>
        </w:rPr>
        <w:t>is the poh*tical capital.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There is a certain amount of industrial activity in the canton, particularly in the portion bordering on the lake of Zürich, while silk-weaving at home is widespread. There are many fruit trees, particularly cherry trees. But on the whole the region is essentially a pastoral one, and the local brown race of cattle is much esteemed and largely exported, mainly to north Italy. There are 417 mountain pastures or “alps” in the canton, capable of supporting 17,492 cows, and of an estimated capital value of 1,128,000 frs. Till 1814 the canton was included in the diocese of Constance, but it is now nominally part of that of Coire. There are six administrative districts in the canton, which comprise thirty communes. The cantonal constitution dates mainly from 1876, but was revised in 1898. The legislature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Kantonsrat)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composed of members elected in the proportion, of one for every six hundred (or fraction over two hundred) inhabitants and holds office for four years—the elections in twelve (the larger) of the thirty electoral circles take place according to the principles of proportional representation. The executive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{Regierungsrat)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seven members is elected by a popular vote, and holds office for four years. The two members of the federal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Standerat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three of the federal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Nationalrat </w:t>
      </w:r>
      <w:r>
        <w:rPr>
          <w:rFonts w:ascii="Times New Roman" w:eastAsia="Times New Roman" w:hAnsi="Times New Roman" w:cs="Times New Roman"/>
          <w:color w:val="000000"/>
          <w:spacing w:val="0"/>
          <w:w w:val="100"/>
          <w:position w:val="0"/>
          <w:sz w:val="19"/>
          <w:szCs w:val="19"/>
          <w:shd w:val="clear" w:color="auto" w:fill="auto"/>
          <w:lang w:val="en-US" w:eastAsia="en-US" w:bidi="en-US"/>
        </w:rPr>
        <w:t>are also chosen by a popular vote. The “ obligatory referendum" prevails in the case of all laws approved by the legislature and important financial measures, while two thousand citizens may claim a popular vote as to any decrees or resolutions of the legislature, and have also the right of “ initiative ” as to the revision of the cantonal constitution or as to legislative projects.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valley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Schwyz </w:t>
      </w:r>
      <w:r>
        <w:rPr>
          <w:rFonts w:ascii="Times New Roman" w:eastAsia="Times New Roman" w:hAnsi="Times New Roman" w:cs="Times New Roman"/>
          <w:color w:val="000000"/>
          <w:spacing w:val="0"/>
          <w:w w:val="100"/>
          <w:position w:val="0"/>
          <w:sz w:val="19"/>
          <w:szCs w:val="19"/>
          <w:shd w:val="clear" w:color="auto" w:fill="auto"/>
          <w:lang w:val="en-US" w:eastAsia="en-US" w:bidi="en-US"/>
        </w:rPr>
        <w:t>is first mentioned in 972 under the form of “ Suit</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tes.”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Later, a community of freemen is found settled at the foot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Mythen,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possessing common lands, and subject only to the count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Zürichgau,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representing the German king. Its early history consists mainly of disputes with the great monastery of Einsiedeln about rights of pasture. In 1240 the community obtained from the Emperor Frederick II. the privilege of being subject immediately to the empire. Its territory then included only the district round the village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Schwyz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valley of the Mucta. But in 1269 it bought from Count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Eberhard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Habsburg-Laufenburg (who in 1273 sold all his other rights to the head of the elder line of the Habs- burgs),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Steinen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Rothenthurm. Schwyz </w:t>
      </w:r>
      <w:r>
        <w:rPr>
          <w:rFonts w:ascii="Times New Roman" w:eastAsia="Times New Roman" w:hAnsi="Times New Roman" w:cs="Times New Roman"/>
          <w:color w:val="000000"/>
          <w:spacing w:val="0"/>
          <w:w w:val="100"/>
          <w:position w:val="0"/>
          <w:sz w:val="19"/>
          <w:szCs w:val="19"/>
          <w:shd w:val="clear" w:color="auto" w:fill="auto"/>
          <w:lang w:val="en-US" w:eastAsia="en-US" w:bidi="en-US"/>
        </w:rPr>
        <w:t>took the lead in making the famous everlasting league of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August 1291, with the neighbouring districts of Uri and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Unterwalden,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its position and political independence specially fitting it for this prominence. An attack by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Schwyz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Einsiedeln was the excuse for the Austrian invasion that was gloriously beaten back in the battle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Morgarten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(November 15th, 1315). In the history of the league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Schwyz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always to the front, so that its name in a dialectal form (Schweiz) was from the early 14th century onwards applied by foreigners to the league as a whole, though it formed part of its formal style only from 1803 onwards. Between 1319 and 1354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Schwyz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secured possession of Arth. But it was only after the victory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Sempach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(1386) that it greatly extended its borders. An “ alliance ” with Einsiedeln in 1397 ended in 1434 with the assumption of the position of “ protector ” of that great house, between 1386 and 1436 the whole of the “ March ” (the region near the upper lake of Zürich) was acquired, in 1402 Küssnacht was bought, and in 1440 the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Höfe,”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parishes of Wollerau, Feusisberg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Freienbach,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situated on the main lake of Zürich. All these districts were governed by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Schwyz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 subject lands,” the supreme power resting with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Lands</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gemeinde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assembly of all male citizens of full age), which is first distinctly mentioned in 1294, though it seems to have already existed in 1281, when mention is also made of a common seal.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Schwyz </w:t>
      </w:r>
      <w:r>
        <w:rPr>
          <w:rFonts w:ascii="Times New Roman" w:eastAsia="Times New Roman" w:hAnsi="Times New Roman" w:cs="Times New Roman"/>
          <w:color w:val="000000"/>
          <w:spacing w:val="0"/>
          <w:w w:val="100"/>
          <w:position w:val="0"/>
          <w:sz w:val="19"/>
          <w:szCs w:val="19"/>
          <w:shd w:val="clear" w:color="auto" w:fill="auto"/>
          <w:lang w:val="en-US" w:eastAsia="en-US" w:bidi="en-US"/>
        </w:rPr>
        <w:t>joined the</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