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another, as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Charybdaea</w:t>
      </w:r>
      <w:r>
        <w:rPr>
          <w:rFonts w:ascii="Times New Roman" w:eastAsia="Times New Roman" w:hAnsi="Times New Roman" w:cs="Times New Roman"/>
          <w:color w:val="000000"/>
          <w:spacing w:val="0"/>
          <w:w w:val="100"/>
          <w:position w:val="0"/>
          <w:shd w:val="clear" w:color="auto" w:fill="auto"/>
          <w:lang w:val="en-US" w:eastAsia="en-US" w:bidi="en-US"/>
        </w:rPr>
        <w:t xml:space="preserve"> (fig. 4), where there are four gastric pouches communicating with the central stomach by four so-called gastric ostia (fig. 4). A similar condition is seen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Pelagia,</w:t>
      </w:r>
      <w:r>
        <w:rPr>
          <w:rFonts w:ascii="Times New Roman" w:eastAsia="Times New Roman" w:hAnsi="Times New Roman" w:cs="Times New Roman"/>
          <w:color w:val="000000"/>
          <w:spacing w:val="0"/>
          <w:w w:val="100"/>
          <w:position w:val="0"/>
          <w:shd w:val="clear" w:color="auto" w:fill="auto"/>
          <w:lang w:val="en-US" w:eastAsia="en-US" w:bidi="en-US"/>
        </w:rPr>
        <w:t xml:space="preserve"> where the number of gastric pouches is increased to sixteen. In forms such as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Lucernaria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Charyb</w:t>
        <w:softHyphen/>
        <w:t>daea,</w:t>
      </w:r>
      <w:r>
        <w:rPr>
          <w:rFonts w:ascii="Times New Roman" w:eastAsia="Times New Roman" w:hAnsi="Times New Roman" w:cs="Times New Roman"/>
          <w:color w:val="000000"/>
          <w:spacing w:val="0"/>
          <w:w w:val="100"/>
          <w:position w:val="0"/>
          <w:shd w:val="clear" w:color="auto" w:fill="auto"/>
          <w:lang w:val="en-US" w:eastAsia="en-US" w:bidi="en-US"/>
        </w:rPr>
        <w:t xml:space="preserve"> in which the umbrella is of deep form and the stomach- cavity consequently of great extent in the vertical direction, the concrescence-areas or septal nodes are drawn out into vertical partitions or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taeniolae </w:t>
      </w:r>
      <w:r>
        <w:rPr>
          <w:rFonts w:ascii="Times New Roman" w:eastAsia="Times New Roman" w:hAnsi="Times New Roman" w:cs="Times New Roman"/>
          <w:color w:val="000000"/>
          <w:spacing w:val="0"/>
          <w:w w:val="100"/>
          <w:position w:val="0"/>
          <w:shd w:val="clear" w:color="auto" w:fill="auto"/>
          <w:lang w:val="en-US" w:eastAsia="en-US" w:bidi="en-US"/>
        </w:rPr>
        <w:t xml:space="preserve">(fig. 4, L.o.c.), resembling in their anatomical relations the mesenteries of the Anthopolyρ. The phacellae are carried on the edges of the taeniolae (fig.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Gh).</w:t>
      </w:r>
      <w:r>
        <w:rPr>
          <w:rFonts w:ascii="Times New Roman" w:eastAsia="Times New Roman" w:hAnsi="Times New Roman" w:cs="Times New Roman"/>
          <w:color w:val="000000"/>
          <w:spacing w:val="0"/>
          <w:w w:val="100"/>
          <w:position w:val="0"/>
          <w:shd w:val="clear" w:color="auto" w:fill="auto"/>
          <w:lang w:val="en-US" w:eastAsia="en-US" w:bidi="en-US"/>
        </w:rPr>
        <w:t xml:space="preserve"> Finally in the majority of Scyphomedusae the primitively simple coπ- crescence-areas become in</w:t>
        <w:softHyphen/>
        <w:t xml:space="preserve">creased in number and in extent, so that radial canals, ring-canals, &amp;c., can be distinguished in addition to stomach- pouches. Thus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Aurelia</w:t>
      </w:r>
      <w:r>
        <w:rPr>
          <w:rFonts w:ascii="Times New Roman" w:eastAsia="Times New Roman" w:hAnsi="Times New Roman" w:cs="Times New Roman"/>
          <w:color w:val="000000"/>
          <w:spacing w:val="0"/>
          <w:w w:val="100"/>
          <w:position w:val="0"/>
          <w:shd w:val="clear" w:color="auto" w:fill="auto"/>
          <w:lang w:val="en-US" w:eastAsia="en-US" w:bidi="en-US"/>
        </w:rPr>
        <w:t xml:space="preserve"> (figs.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2a</w:t>
      </w:r>
      <w:r>
        <w:rPr>
          <w:rFonts w:ascii="Times New Roman" w:eastAsia="Times New Roman" w:hAnsi="Times New Roman" w:cs="Times New Roman"/>
          <w:color w:val="000000"/>
          <w:spacing w:val="0"/>
          <w:w w:val="100"/>
          <w:position w:val="0"/>
          <w:shd w:val="clear" w:color="auto" w:fill="auto"/>
          <w:lang w:val="en-US" w:eastAsia="en-US" w:bidi="en-US"/>
        </w:rPr>
        <w:t xml:space="preserve"> and 2</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to take a familiar example, the digestive tract begins with the mouth, of which the four corners are prolonged into the four long oral arms, </w:t>
      </w:r>
      <w:r>
        <w:rPr>
          <w:rFonts w:ascii="Times New Roman" w:eastAsia="Times New Roman" w:hAnsi="Times New Roman" w:cs="Times New Roman"/>
          <w:color w:val="000000"/>
          <w:spacing w:val="0"/>
          <w:w w:val="100"/>
          <w:position w:val="0"/>
          <w:shd w:val="clear" w:color="auto" w:fill="auto"/>
          <w:lang w:val="de-DE" w:eastAsia="de-DE" w:bidi="de-DE"/>
        </w:rPr>
        <w:t xml:space="preserve">perradial </w:t>
      </w:r>
      <w:r>
        <w:rPr>
          <w:rFonts w:ascii="Times New Roman" w:eastAsia="Times New Roman" w:hAnsi="Times New Roman" w:cs="Times New Roman"/>
          <w:color w:val="000000"/>
          <w:spacing w:val="0"/>
          <w:w w:val="100"/>
          <w:position w:val="0"/>
          <w:shd w:val="clear" w:color="auto" w:fill="auto"/>
          <w:lang w:val="en-US" w:eastAsia="en-US" w:bidi="en-US"/>
        </w:rPr>
        <w:t xml:space="preserve">in position. The mouth leads into the spacious stomach containing the four conspicuous horse- shoe-shaped gonads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(ov)</w:t>
      </w:r>
      <w:r>
        <w:rPr>
          <w:rFonts w:ascii="Times New Roman" w:eastAsia="Times New Roman" w:hAnsi="Times New Roman" w:cs="Times New Roman"/>
          <w:color w:val="000000"/>
          <w:spacing w:val="0"/>
          <w:w w:val="100"/>
          <w:position w:val="0"/>
          <w:shd w:val="clear" w:color="auto" w:fill="auto"/>
          <w:lang w:val="en-US" w:eastAsia="en-US" w:bidi="en-US"/>
        </w:rPr>
        <w:t xml:space="preserve"> marking four stomach-pouches, which, however, are inter- radial in position. From the stomach or its pouches arise sixteen radial canals, four perradial, four </w:t>
      </w:r>
      <w:r>
        <w:rPr>
          <w:rFonts w:ascii="Times New Roman" w:eastAsia="Times New Roman" w:hAnsi="Times New Roman" w:cs="Times New Roman"/>
          <w:color w:val="000000"/>
          <w:spacing w:val="0"/>
          <w:w w:val="100"/>
          <w:position w:val="0"/>
          <w:shd w:val="clear" w:color="auto" w:fill="auto"/>
          <w:lang w:val="de-DE" w:eastAsia="de-DE" w:bidi="de-DE"/>
        </w:rPr>
        <w:t xml:space="preserve">interradial </w:t>
      </w:r>
      <w:r>
        <w:rPr>
          <w:rFonts w:ascii="Times New Roman" w:eastAsia="Times New Roman" w:hAnsi="Times New Roman" w:cs="Times New Roman"/>
          <w:color w:val="000000"/>
          <w:spacing w:val="0"/>
          <w:w w:val="100"/>
          <w:position w:val="0"/>
          <w:shd w:val="clear" w:color="auto" w:fill="auto"/>
          <w:lang w:val="en-US" w:eastAsia="en-US" w:bidi="en-US"/>
        </w:rPr>
        <w:t>and eight adradial (fig. 2</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color w:val="000000"/>
          <w:spacing w:val="0"/>
          <w:w w:val="100"/>
          <w:position w:val="0"/>
          <w:shd w:val="clear" w:color="auto" w:fill="auto"/>
          <w:lang w:val="de-DE" w:eastAsia="de-DE" w:bidi="de-DE"/>
        </w:rPr>
        <w:t xml:space="preserve">perradial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interradial </w:t>
      </w:r>
      <w:r>
        <w:rPr>
          <w:rFonts w:ascii="Times New Roman" w:eastAsia="Times New Roman" w:hAnsi="Times New Roman" w:cs="Times New Roman"/>
          <w:color w:val="000000"/>
          <w:spacing w:val="0"/>
          <w:w w:val="100"/>
          <w:position w:val="0"/>
          <w:shd w:val="clear" w:color="auto" w:fill="auto"/>
          <w:lang w:val="en-US" w:eastAsia="en-US" w:bidi="en-US"/>
        </w:rPr>
        <w:t>canals consist of a main stem giving off branches, and both stem and branches reach to the marginal ring-canal, the main stem ending in one of the eight tentaculocysts, which are lodged in the notches between the lobes of the umbrellar margin. The adradial canals are unbranched and run to the middle point of one of the marginal lobes. The system of canals shows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great variation even in the same species.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muscular system of the Scyphomedusae is developed on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subumbral surface as a system of circularly disposed fibres which by their contraction make the umbrella more concave and diminish its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cavity. The circular muscles usually form two chief portions, a peripheral wreath-muscle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Kranzmuskel),</w:t>
      </w:r>
      <w:r>
        <w:rPr>
          <w:rFonts w:ascii="Times New Roman" w:eastAsia="Times New Roman" w:hAnsi="Times New Roman" w:cs="Times New Roman"/>
          <w:color w:val="000000"/>
          <w:spacing w:val="0"/>
          <w:w w:val="100"/>
          <w:position w:val="0"/>
          <w:shd w:val="clear" w:color="auto" w:fill="auto"/>
          <w:lang w:val="en-US" w:eastAsia="en-US" w:bidi="en-US"/>
        </w:rPr>
        <w:t xml:space="preserve"> subdivided into four, eight or sixteen areas, and an oral ring-muscle round the mouth. Endo- dermal muscles are found in the phacellae, and in such forms as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Lucernaria,</w:t>
      </w:r>
      <w:r>
        <w:rPr>
          <w:rFonts w:ascii="Times New Roman" w:eastAsia="Times New Roman" w:hAnsi="Times New Roman" w:cs="Times New Roman"/>
          <w:color w:val="000000"/>
          <w:spacing w:val="0"/>
          <w:w w:val="100"/>
          <w:position w:val="0"/>
          <w:shd w:val="clear" w:color="auto" w:fill="auto"/>
          <w:lang w:val="en-US" w:eastAsia="en-US" w:bidi="en-US"/>
        </w:rPr>
        <w:t xml:space="preserve"> longitudinal (vertical) muscular tracts or bands are found in the taeniolae, which, according to some authorities, are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endodermal origin, but which, according to recent observations, are formed in the walls of the infundibular cavities, and are therefore of ectodermal origin.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nervous system consists as in Hydromedusae of a diffuse plexus beneath the ectoderm, concentrated in certain places to form a central nervous system. In these medusae, however, the central nervous system does not form continuous rings, but occurs as four or eight separate con</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centrations at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margin of the um</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brella, centred each</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round one of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sense-organs (teπta-</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culocysts). Each</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nerve-centre controls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its own antimere or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segment of the body,</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receiving sensory im</w:t>
        <w:softHyphen/>
        <w:t>pressions from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tentaculocyst and innervating its special</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subdivision of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muscular system.</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separate nerve-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centres are, as a rule,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placed in communi</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cation only by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general nerve-plexus,</w:t>
      </w:r>
    </w:p>
    <w:p>
      <w:pPr>
        <w:pStyle w:val="Style8"/>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but in </w:t>
      </w:r>
      <w:r>
        <w:rPr>
          <w:rFonts w:ascii="Times New Roman" w:eastAsia="Times New Roman" w:hAnsi="Times New Roman" w:cs="Times New Roman"/>
          <w:color w:val="000000"/>
          <w:spacing w:val="0"/>
          <w:w w:val="100"/>
          <w:position w:val="0"/>
          <w:shd w:val="clear" w:color="auto" w:fill="auto"/>
          <w:lang w:val="en-US" w:eastAsia="en-US" w:bidi="en-US"/>
        </w:rPr>
        <w:t>Charybdaea</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there is a zigzag</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marginal nerve connecting them up.</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sense-organs of the Scyphomedusae are on the whole of a very uniform type.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They are always tentaculocysts, as already stated, and they always have a hollow axis, unlike the tentaculocysts of Hydromedusae, in which group these organs, when they do occur (as in Trachy- linae) are always solid. Two types of tentaculocyst must be distinguished, the one occurring only in the order Stauromedusae, the other in all orders of the group. The second and commoner type is known as a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rho</w:t>
        <w:softHyphen/>
        <w:t>palium</w:t>
      </w:r>
      <w:r>
        <w:rPr>
          <w:rFonts w:ascii="Times New Roman" w:eastAsia="Times New Roman" w:hAnsi="Times New Roman" w:cs="Times New Roman"/>
          <w:color w:val="000000"/>
          <w:spacing w:val="0"/>
          <w:w w:val="100"/>
          <w:position w:val="0"/>
          <w:shd w:val="clear" w:color="auto" w:fill="auto"/>
          <w:lang w:val="en-US" w:eastAsia="en-US" w:bidi="en-US"/>
        </w:rPr>
        <w:t xml:space="preserve"> (fig. 6) and consists of a short, hollow rod, the wall of which is composed of the two body- layers, ectoderm and endoderm, enclosing a cavity continuous with that of the gastrovascular system.</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 the apex of the rhopalium the en</w:t>
        <w:softHyphen/>
        <w:t>doderm is greatly thickened and con</w:t>
        <w:softHyphen/>
        <w:t>sists of concrement- cells secreting otoliths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on).</w:t>
      </w:r>
      <w:r>
        <w:rPr>
          <w:rFonts w:ascii="Times New Roman" w:eastAsia="Times New Roman" w:hAnsi="Times New Roman" w:cs="Times New Roman"/>
          <w:color w:val="000000"/>
          <w:spacing w:val="0"/>
          <w:w w:val="100"/>
          <w:position w:val="0"/>
          <w:shd w:val="clear" w:color="auto" w:fill="auto"/>
          <w:lang w:val="en-US" w:eastAsia="en-US" w:bidi="en-US"/>
        </w:rPr>
        <w:t xml:space="preserve"> The more proximal por</w:t>
        <w:softHyphen/>
        <w:t xml:space="preserve">tion of the rhopalium usually bears one or more ocelli </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i/>
          <w:iCs/>
          <w:smallCaps/>
          <w:color w:val="000000"/>
          <w:spacing w:val="0"/>
          <w:w w:val="100"/>
          <w:position w:val="0"/>
          <w:shd w:val="clear" w:color="auto" w:fill="auto"/>
          <w:lang w:val="en-US" w:eastAsia="en-US" w:bidi="en-US"/>
        </w:rPr>
        <w:t>oc</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rhopalia are lodged in the notches between the marginal lobes of the umbrella, and each rhopalium is covered over by a little protecting flap or lappet. On the external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exumbral) face of the lappet there is frequently a patch of sensory ciliated epithelium regarded as olfactory in function and termed the olfactory pit (fig. 6, A). Each rhopalium is a centre round which, as already stated, nervous tissue is concentrated.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otoliths</w:t>
      </w:r>
      <w:r>
        <w:rPr>
          <w:rFonts w:ascii="Times New Roman" w:eastAsia="Times New Roman" w:hAnsi="Times New Roman" w:cs="Times New Roman"/>
          <w:color w:val="000000"/>
          <w:spacing w:val="0"/>
          <w:w w:val="100"/>
          <w:position w:val="0"/>
          <w:shd w:val="clear" w:color="auto" w:fill="auto"/>
          <w:lang w:val="en-US" w:eastAsia="en-US" w:bidi="en-US"/>
        </w:rPr>
        <w:t xml:space="preserve"> vary considerably in number and size.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Aurelia </w:t>
      </w:r>
      <w:r>
        <w:rPr>
          <w:rFonts w:ascii="Times New Roman" w:eastAsia="Times New Roman" w:hAnsi="Times New Roman" w:cs="Times New Roman"/>
          <w:color w:val="000000"/>
          <w:spacing w:val="0"/>
          <w:w w:val="100"/>
          <w:position w:val="0"/>
          <w:shd w:val="clear" w:color="auto" w:fill="auto"/>
          <w:lang w:val="en-US" w:eastAsia="en-US" w:bidi="en-US"/>
        </w:rPr>
        <w:t xml:space="preserve">there are found numerous otoliths arranged irregularly.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Charyb</w:t>
        <w:softHyphen/>
        <w:t>daea</w:t>
      </w:r>
      <w:r>
        <w:rPr>
          <w:rFonts w:ascii="Times New Roman" w:eastAsia="Times New Roman" w:hAnsi="Times New Roman" w:cs="Times New Roman"/>
          <w:color w:val="000000"/>
          <w:spacing w:val="0"/>
          <w:w w:val="100"/>
          <w:position w:val="0"/>
          <w:shd w:val="clear" w:color="auto" w:fill="auto"/>
          <w:lang w:val="en-US" w:eastAsia="en-US" w:bidi="en-US"/>
        </w:rPr>
        <w:t xml:space="preserve"> (fig. 7,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otol)</w:t>
      </w:r>
      <w:r>
        <w:rPr>
          <w:rFonts w:ascii="Times New Roman" w:eastAsia="Times New Roman" w:hAnsi="Times New Roman" w:cs="Times New Roman"/>
          <w:color w:val="000000"/>
          <w:spacing w:val="0"/>
          <w:w w:val="100"/>
          <w:position w:val="0"/>
          <w:shd w:val="clear" w:color="auto" w:fill="auto"/>
          <w:lang w:val="en-US" w:eastAsia="en-US" w:bidi="en-US"/>
        </w:rPr>
        <w:t xml:space="preserve"> the otoliths are larger but fewer in number and have a definite arrangement.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Nausithoē</w:t>
      </w:r>
      <w:r>
        <w:rPr>
          <w:rFonts w:ascii="Times New Roman" w:eastAsia="Times New Roman" w:hAnsi="Times New Roman" w:cs="Times New Roman"/>
          <w:color w:val="000000"/>
          <w:spacing w:val="0"/>
          <w:w w:val="100"/>
          <w:position w:val="0"/>
          <w:shd w:val="clear" w:color="auto" w:fill="auto"/>
          <w:lang w:val="en-US" w:eastAsia="en-US" w:bidi="en-US"/>
        </w:rPr>
        <w:t xml:space="preserve"> a single large otolith is found.</w:t>
      </w:r>
    </w:p>
    <w:sectPr>
      <w:footnotePr>
        <w:pos w:val="pageBottom"/>
        <w:numFmt w:val="decimal"/>
        <w:numRestart w:val="continuous"/>
      </w:footnotePr>
      <w:pgSz w:w="12240" w:h="15840"/>
      <w:pgMar w:top="956" w:left="878" w:right="913" w:bottom="5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character" w:customStyle="1" w:styleId="CharStyle9">
    <w:name w:val="Body text (5)_"/>
    <w:basedOn w:val="DefaultParagraphFont"/>
    <w:link w:val="Style8"/>
    <w:rPr>
      <w:rFonts w:ascii="Arial" w:eastAsia="Arial" w:hAnsi="Arial" w:cs="Arial"/>
      <w:b w:val="0"/>
      <w:bCs w:val="0"/>
      <w:i/>
      <w:iCs/>
      <w:smallCaps w:val="0"/>
      <w:strike w:val="0"/>
      <w:sz w:val="14"/>
      <w:szCs w:val="14"/>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customStyle="1" w:styleId="Style8">
    <w:name w:val="Body text (5)"/>
    <w:basedOn w:val="Normal"/>
    <w:link w:val="CharStyle9"/>
    <w:pPr>
      <w:widowControl w:val="0"/>
      <w:shd w:val="clear" w:color="auto" w:fill="FFFFFF"/>
      <w:spacing w:line="223" w:lineRule="auto"/>
      <w:jc w:val="both"/>
    </w:pPr>
    <w:rPr>
      <w:rFonts w:ascii="Arial" w:eastAsia="Arial" w:hAnsi="Arial" w:cs="Arial"/>
      <w:b w:val="0"/>
      <w:bCs w:val="0"/>
      <w:i/>
      <w:iCs/>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