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Carolings, although no actual examples of the last have survived, by the emperors of Germany, and by other sovereigns and rulers. Such specimens as have descended to us show that the golden bulla of the middle ages was usually hollow, being formed of two thin plates of metal stamped with the designs of obverse and reverse, soldered together at the edges and padded with wax or plaster. On rare occasions it was of solid gold. The popes attached golden bullae to their confirmations of the elections of the emperors in the 12th and 13th centuries; and they issued them on such occasions as when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X. conferred on Henry VIII. the title of Defender of the Faith, in 1521; on the coronation of Charles V., 1530; on the erection of the arch</w:t>
        <w:softHyphen/>
        <w:t xml:space="preserve">bishopric of Lisbon into a patriarchate in 1716, &amp;c.; and quite recently papal golden bullae have been conferred on royal personages. Comparatively few examples of golden bullae have survived. The value of the metal sufficiently accounts for their scarcity. Some examples are in the British Museum, viz. of Baldwin II.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Courtenay, formerly emperor of Constantinople, attached to a charter of 1269; of Edmund, king of Sicily, son of Henry III. of England; and of the emperor Frederick III., 1452-1493. In the Public Record Office, of Alfonso X. of Castile, ceding Gascony to Edward, son of Henry III. of England, 1254; of Clement VII. confirming to Henry VIII. the title of Defender of the Faith, 1524 (this example being the work of Benvenuto Cellini); and of Francis I. of France, ratifying the treaty with Henry VIII., 1527 (the counterpart with Henry’s bulla being in Paris).</w:t>
      </w:r>
    </w:p>
    <w:p>
      <w:pPr>
        <w:pStyle w:val="Style6"/>
        <w:keepNext w:val="0"/>
        <w:keepLines w:val="0"/>
        <w:widowControl w:val="0"/>
        <w:shd w:val="clear" w:color="auto" w:fill="auto"/>
        <w:bidi w:val="0"/>
        <w:spacing w:line="228" w:lineRule="auto"/>
        <w:ind w:left="0" w:firstLine="360"/>
        <w:jc w:val="left"/>
        <w:rPr>
          <w:sz w:val="15"/>
          <w:szCs w:val="15"/>
        </w:rPr>
      </w:pPr>
      <w:r>
        <w:rPr>
          <w:rFonts w:ascii="Times New Roman" w:eastAsia="Times New Roman" w:hAnsi="Times New Roman" w:cs="Times New Roman"/>
          <w:i w:val="0"/>
          <w:iCs w:val="0"/>
          <w:smallCaps/>
          <w:color w:val="000000"/>
          <w:spacing w:val="0"/>
          <w:w w:val="100"/>
          <w:position w:val="0"/>
          <w:sz w:val="15"/>
          <w:szCs w:val="15"/>
          <w:shd w:val="clear" w:color="auto" w:fill="auto"/>
          <w:lang w:val="en-US" w:eastAsia="en-US" w:bidi="en-US"/>
        </w:rPr>
        <w:t>Authorities.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—W.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de G.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Birch, </w:t>
      </w:r>
      <w:r>
        <w:rPr>
          <w:rFonts w:ascii="Times New Roman" w:eastAsia="Times New Roman" w:hAnsi="Times New Roman" w:cs="Times New Roman"/>
          <w:color w:val="000000"/>
          <w:spacing w:val="0"/>
          <w:w w:val="100"/>
          <w:position w:val="0"/>
          <w:sz w:val="14"/>
          <w:szCs w:val="14"/>
          <w:shd w:val="clear" w:color="auto" w:fill="auto"/>
          <w:lang w:val="en-US" w:eastAsia="en-US" w:bidi="en-US"/>
        </w:rPr>
        <w:t>Catalogue of Seals in the British Museum</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(6 vols., 1887-1900); A. Wyon,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Great Seals of England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(1887); G. Pedrick, </w:t>
      </w:r>
      <w:r>
        <w:rPr>
          <w:rFonts w:ascii="Times New Roman" w:eastAsia="Times New Roman" w:hAnsi="Times New Roman" w:cs="Times New Roman"/>
          <w:color w:val="000000"/>
          <w:spacing w:val="0"/>
          <w:w w:val="100"/>
          <w:position w:val="0"/>
          <w:sz w:val="14"/>
          <w:szCs w:val="14"/>
          <w:shd w:val="clear" w:color="auto" w:fill="auto"/>
          <w:lang w:val="en-US" w:eastAsia="en-US" w:bidi="en-US"/>
        </w:rPr>
        <w:t>Borough Seals of the Gothic Period</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(1904); H. Laing, </w:t>
      </w:r>
      <w:r>
        <w:rPr>
          <w:rFonts w:ascii="Times New Roman" w:eastAsia="Times New Roman" w:hAnsi="Times New Roman" w:cs="Times New Roman"/>
          <w:color w:val="000000"/>
          <w:spacing w:val="0"/>
          <w:w w:val="100"/>
          <w:position w:val="0"/>
          <w:sz w:val="14"/>
          <w:szCs w:val="14"/>
          <w:shd w:val="clear" w:color="auto" w:fill="auto"/>
          <w:lang w:val="en-US" w:eastAsia="en-US" w:bidi="en-US"/>
        </w:rPr>
        <w:t>Catalogue of Ancient Scottish Seals</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(1858, 1866); Douet d’Arcq,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Collection </w:t>
      </w:r>
      <w:r>
        <w:rPr>
          <w:rFonts w:ascii="Times New Roman" w:eastAsia="Times New Roman" w:hAnsi="Times New Roman" w:cs="Times New Roman"/>
          <w:color w:val="000000"/>
          <w:spacing w:val="0"/>
          <w:w w:val="100"/>
          <w:position w:val="0"/>
          <w:sz w:val="14"/>
          <w:szCs w:val="14"/>
          <w:shd w:val="clear" w:color="auto" w:fill="auto"/>
          <w:lang w:val="fr-FR" w:eastAsia="fr-FR" w:bidi="fr-FR"/>
        </w:rPr>
        <w:t>de sceaux (Inventaires et documents des archives de l'Empire)</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(3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vols.,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1863-1868);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G. Demay,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Inventaire des sceaux de la Flandre </w:t>
      </w: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vols.,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1873), </w:t>
      </w:r>
      <w:r>
        <w:rPr>
          <w:rFonts w:ascii="Times New Roman" w:eastAsia="Times New Roman" w:hAnsi="Times New Roman" w:cs="Times New Roman"/>
          <w:color w:val="000000"/>
          <w:spacing w:val="0"/>
          <w:w w:val="100"/>
          <w:position w:val="0"/>
          <w:sz w:val="14"/>
          <w:szCs w:val="14"/>
          <w:shd w:val="clear" w:color="auto" w:fill="auto"/>
          <w:lang w:val="fr-FR" w:eastAsia="fr-FR" w:bidi="fr-FR"/>
        </w:rPr>
        <w:t>de l'Artois et de la Picardie</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(1877), </w:t>
      </w:r>
      <w:r>
        <w:rPr>
          <w:rFonts w:ascii="Times New Roman" w:eastAsia="Times New Roman" w:hAnsi="Times New Roman" w:cs="Times New Roman"/>
          <w:color w:val="000000"/>
          <w:spacing w:val="0"/>
          <w:w w:val="100"/>
          <w:position w:val="0"/>
          <w:sz w:val="14"/>
          <w:szCs w:val="14"/>
          <w:shd w:val="clear" w:color="auto" w:fill="auto"/>
          <w:lang w:val="fr-FR" w:eastAsia="fr-FR" w:bidi="fr-FR"/>
        </w:rPr>
        <w:t>de la Normandie</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(1881);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G. Schlumberger, </w:t>
      </w:r>
      <w:r>
        <w:rPr>
          <w:rFonts w:ascii="Times New Roman" w:eastAsia="Times New Roman" w:hAnsi="Times New Roman" w:cs="Times New Roman"/>
          <w:color w:val="000000"/>
          <w:spacing w:val="0"/>
          <w:w w:val="100"/>
          <w:position w:val="0"/>
          <w:sz w:val="14"/>
          <w:szCs w:val="14"/>
          <w:shd w:val="clear" w:color="auto" w:fill="auto"/>
          <w:lang w:val="fr-FR" w:eastAsia="fr-FR" w:bidi="fr-FR"/>
        </w:rPr>
        <w:t>Sigillographie de l'empire byzantin</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(1884);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J. von Pflugk-Hartung, </w:t>
      </w:r>
      <w:r>
        <w:rPr>
          <w:rFonts w:ascii="Times New Roman" w:eastAsia="Times New Roman" w:hAnsi="Times New Roman" w:cs="Times New Roman"/>
          <w:color w:val="000000"/>
          <w:spacing w:val="0"/>
          <w:w w:val="100"/>
          <w:position w:val="0"/>
          <w:sz w:val="14"/>
          <w:szCs w:val="14"/>
          <w:shd w:val="clear" w:color="auto" w:fill="auto"/>
          <w:lang w:val="fr-FR" w:eastAsia="fr-FR" w:bidi="fr-FR"/>
        </w:rPr>
        <w:t>Specimina selecta chartarum pontificum Romanorum</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(for papal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bullae) (1885-1887); </w:t>
      </w:r>
      <w:r>
        <w:rPr>
          <w:rFonts w:ascii="Times New Roman" w:eastAsia="Times New Roman" w:hAnsi="Times New Roman" w:cs="Times New Roman"/>
          <w:color w:val="000000"/>
          <w:spacing w:val="0"/>
          <w:w w:val="100"/>
          <w:position w:val="0"/>
          <w:sz w:val="14"/>
          <w:szCs w:val="14"/>
          <w:shd w:val="clear" w:color="auto" w:fill="auto"/>
          <w:lang w:val="fr-FR" w:eastAsia="fr-FR" w:bidi="fr-FR"/>
        </w:rPr>
        <w:t>Cata</w:t>
        <w:softHyphen/>
        <w:t xml:space="preserve">logue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Engraved Gems in the Dept. of Greek and Roman Antiquities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(British Museum, 1888);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F.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H. Marshall, </w:t>
      </w:r>
      <w:r>
        <w:rPr>
          <w:rFonts w:ascii="Times New Roman" w:eastAsia="Times New Roman" w:hAnsi="Times New Roman" w:cs="Times New Roman"/>
          <w:color w:val="000000"/>
          <w:spacing w:val="0"/>
          <w:w w:val="100"/>
          <w:position w:val="0"/>
          <w:sz w:val="14"/>
          <w:szCs w:val="14"/>
          <w:shd w:val="clear" w:color="auto" w:fill="auto"/>
          <w:lang w:val="en-US" w:eastAsia="en-US" w:bidi="en-US"/>
        </w:rPr>
        <w:t>Catalogue of the Finger-Rings, Greek, Etruscan, and Roman, in the British Museum</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(1907); E. Babelon, </w:t>
      </w:r>
      <w:r>
        <w:rPr>
          <w:rFonts w:ascii="Times New Roman" w:eastAsia="Times New Roman" w:hAnsi="Times New Roman" w:cs="Times New Roman"/>
          <w:color w:val="000000"/>
          <w:spacing w:val="0"/>
          <w:w w:val="100"/>
          <w:position w:val="0"/>
          <w:sz w:val="14"/>
          <w:szCs w:val="14"/>
          <w:shd w:val="clear" w:color="auto" w:fill="auto"/>
          <w:lang w:val="fr-FR" w:eastAsia="fr-FR" w:bidi="fr-FR"/>
        </w:rPr>
        <w:t>Histoire de la gravure sur gemmes en France</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(1902). There are also numerous papers on seals in </w:t>
      </w:r>
      <w:r>
        <w:rPr>
          <w:rFonts w:ascii="Times New Roman" w:eastAsia="Times New Roman" w:hAnsi="Times New Roman" w:cs="Times New Roman"/>
          <w:color w:val="000000"/>
          <w:spacing w:val="0"/>
          <w:w w:val="100"/>
          <w:position w:val="0"/>
          <w:sz w:val="14"/>
          <w:szCs w:val="14"/>
          <w:shd w:val="clear" w:color="auto" w:fill="auto"/>
          <w:lang w:val="en-US" w:eastAsia="en-US" w:bidi="en-US"/>
        </w:rPr>
        <w:t>Archaeologia</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and in the </w:t>
      </w:r>
      <w:r>
        <w:rPr>
          <w:rFonts w:ascii="Times New Roman" w:eastAsia="Times New Roman" w:hAnsi="Times New Roman" w:cs="Times New Roman"/>
          <w:color w:val="000000"/>
          <w:spacing w:val="0"/>
          <w:w w:val="100"/>
          <w:position w:val="0"/>
          <w:sz w:val="14"/>
          <w:szCs w:val="14"/>
          <w:shd w:val="clear" w:color="auto" w:fill="auto"/>
          <w:lang w:val="en-US" w:eastAsia="en-US" w:bidi="en-US"/>
        </w:rPr>
        <w:t>Proceedings</w:t>
      </w:r>
      <w:r>
        <w:rPr>
          <w:rFonts w:ascii="Times New Roman" w:eastAsia="Times New Roman" w:hAnsi="Times New Roman" w:cs="Times New Roman"/>
          <w:i w:val="0"/>
          <w:iCs w:val="0"/>
          <w:color w:val="000000"/>
          <w:spacing w:val="0"/>
          <w:w w:val="100"/>
          <w:position w:val="0"/>
          <w:sz w:val="12"/>
          <w:szCs w:val="12"/>
          <w:shd w:val="clear" w:color="auto" w:fill="auto"/>
          <w:lang w:val="en-US" w:eastAsia="en-US" w:bidi="en-US"/>
        </w:rPr>
        <w:t xml:space="preserve"> of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the Society of Anuguaries, and in the archaeological journals. Handbooks on diplomatic devote some attention to seals, </w:t>
      </w:r>
      <w:r>
        <w:rPr>
          <w:rFonts w:ascii="Times New Roman" w:eastAsia="Times New Roman" w:hAnsi="Times New Roman" w:cs="Times New Roman"/>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A. Giry,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Manuel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4"/>
          <w:szCs w:val="14"/>
          <w:shd w:val="clear" w:color="auto" w:fill="auto"/>
          <w:lang w:val="en-US" w:eastAsia="en-US" w:bidi="en-US"/>
        </w:rPr>
        <w:t>diplomatique</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(1894) ; H. Bresslau, </w:t>
      </w:r>
      <w:r>
        <w:rPr>
          <w:rFonts w:ascii="Times New Roman" w:eastAsia="Times New Roman" w:hAnsi="Times New Roman" w:cs="Times New Roman"/>
          <w:color w:val="000000"/>
          <w:spacing w:val="0"/>
          <w:w w:val="100"/>
          <w:position w:val="0"/>
          <w:sz w:val="14"/>
          <w:szCs w:val="14"/>
          <w:shd w:val="clear" w:color="auto" w:fill="auto"/>
          <w:lang w:val="de-DE" w:eastAsia="de-DE" w:bidi="de-DE"/>
        </w:rPr>
        <w:t>Handbuch der Urkundenlehre für Deutschland und Italien</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(1889).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(E. </w:t>
      </w:r>
      <w:r>
        <w:rPr>
          <w:rFonts w:ascii="Times New Roman" w:eastAsia="Times New Roman" w:hAnsi="Times New Roman" w:cs="Times New Roman"/>
          <w:i w:val="0"/>
          <w:iCs w:val="0"/>
          <w:color w:val="000000"/>
          <w:spacing w:val="0"/>
          <w:w w:val="100"/>
          <w:position w:val="0"/>
          <w:sz w:val="15"/>
          <w:szCs w:val="15"/>
          <w:shd w:val="clear" w:color="auto" w:fill="auto"/>
          <w:lang w:val="el-GR" w:eastAsia="el-GR" w:bidi="el-GR"/>
        </w:rPr>
        <w:t xml:space="preserve">Μ. </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SEALS </w:t>
      </w:r>
      <w:r>
        <w:rPr>
          <w:rFonts w:ascii="Times New Roman" w:eastAsia="Times New Roman" w:hAnsi="Times New Roman" w:cs="Times New Roman"/>
          <w:color w:val="000000"/>
          <w:spacing w:val="0"/>
          <w:w w:val="100"/>
          <w:position w:val="0"/>
          <w:shd w:val="clear" w:color="auto" w:fill="auto"/>
          <w:lang w:val="en-US" w:eastAsia="en-US" w:bidi="en-US"/>
        </w:rPr>
        <w:t xml:space="preserve">FIELD,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pseudonym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smallCaps/>
          <w:color w:val="000000"/>
          <w:spacing w:val="0"/>
          <w:w w:val="100"/>
          <w:position w:val="0"/>
          <w:shd w:val="clear" w:color="auto" w:fill="auto"/>
          <w:lang w:val="de-DE" w:eastAsia="de-DE" w:bidi="de-DE"/>
        </w:rPr>
        <w:t>Karl Anton Postl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(1793-1864), </w:t>
      </w:r>
      <w:r>
        <w:rPr>
          <w:rFonts w:ascii="Times New Roman" w:eastAsia="Times New Roman" w:hAnsi="Times New Roman" w:cs="Times New Roman"/>
          <w:color w:val="000000"/>
          <w:spacing w:val="0"/>
          <w:w w:val="100"/>
          <w:position w:val="0"/>
          <w:shd w:val="clear" w:color="auto" w:fill="auto"/>
          <w:lang w:val="de-DE" w:eastAsia="de-DE" w:bidi="de-DE"/>
        </w:rPr>
        <w:t xml:space="preserve">German </w:t>
      </w:r>
      <w:r>
        <w:rPr>
          <w:rFonts w:ascii="Times New Roman" w:eastAsia="Times New Roman" w:hAnsi="Times New Roman" w:cs="Times New Roman"/>
          <w:color w:val="000000"/>
          <w:spacing w:val="0"/>
          <w:w w:val="100"/>
          <w:position w:val="0"/>
          <w:shd w:val="clear" w:color="auto" w:fill="auto"/>
          <w:lang w:val="en-US" w:eastAsia="en-US" w:bidi="en-US"/>
        </w:rPr>
        <w:t xml:space="preserve">novelist, who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bom on the 3rd of March 1793 at </w:t>
      </w:r>
      <w:r>
        <w:rPr>
          <w:rFonts w:ascii="Times New Roman" w:eastAsia="Times New Roman" w:hAnsi="Times New Roman" w:cs="Times New Roman"/>
          <w:color w:val="000000"/>
          <w:spacing w:val="0"/>
          <w:w w:val="100"/>
          <w:position w:val="0"/>
          <w:shd w:val="clear" w:color="auto" w:fill="auto"/>
          <w:lang w:val="de-DE" w:eastAsia="de-DE" w:bidi="de-DE"/>
        </w:rPr>
        <w:t xml:space="preserve">Poppitz </w:t>
      </w:r>
      <w:r>
        <w:rPr>
          <w:rFonts w:ascii="Times New Roman" w:eastAsia="Times New Roman" w:hAnsi="Times New Roman" w:cs="Times New Roman"/>
          <w:color w:val="000000"/>
          <w:spacing w:val="0"/>
          <w:w w:val="100"/>
          <w:position w:val="0"/>
          <w:shd w:val="clear" w:color="auto" w:fill="auto"/>
          <w:lang w:val="en-US" w:eastAsia="en-US" w:bidi="en-US"/>
        </w:rPr>
        <w:t xml:space="preserve">near Znaim in Moravia. His schooling completed, he entered the </w:t>
      </w:r>
      <w:r>
        <w:rPr>
          <w:rFonts w:ascii="Times New Roman" w:eastAsia="Times New Roman" w:hAnsi="Times New Roman" w:cs="Times New Roman"/>
          <w:color w:val="000000"/>
          <w:spacing w:val="0"/>
          <w:w w:val="100"/>
          <w:position w:val="0"/>
          <w:shd w:val="clear" w:color="auto" w:fill="auto"/>
          <w:lang w:val="de-DE" w:eastAsia="de-DE" w:bidi="de-DE"/>
        </w:rPr>
        <w:t xml:space="preserve">Kreuzherrenorden </w:t>
      </w:r>
      <w:r>
        <w:rPr>
          <w:rFonts w:ascii="Times New Roman" w:eastAsia="Times New Roman" w:hAnsi="Times New Roman" w:cs="Times New Roman"/>
          <w:color w:val="000000"/>
          <w:spacing w:val="0"/>
          <w:w w:val="100"/>
          <w:position w:val="0"/>
          <w:shd w:val="clear" w:color="auto" w:fill="auto"/>
          <w:lang w:val="en-US" w:eastAsia="en-US" w:bidi="en-US"/>
        </w:rPr>
        <w:t xml:space="preserve">in Prague, where he became a priest, but in the autumn of 1822 he fled to America, where he assumed the name of Charles Sealsfield. In 1826 he returned to Germany and published a book on America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Vereinigten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Slaatcn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von Nordamerika),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was followed by an outspoken criticism of Austria, written in English (</w:t>
      </w:r>
      <w:r>
        <w:rPr>
          <w:rFonts w:ascii="Times New Roman" w:eastAsia="Times New Roman" w:hAnsi="Times New Roman" w:cs="Times New Roman"/>
          <w:i/>
          <w:iCs/>
          <w:color w:val="000000"/>
          <w:spacing w:val="0"/>
          <w:w w:val="100"/>
          <w:position w:val="0"/>
          <w:shd w:val="clear" w:color="auto" w:fill="auto"/>
          <w:lang w:val="en-US" w:eastAsia="en-US" w:bidi="en-US"/>
        </w:rPr>
        <w:t>Austria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as it is,</w:t>
      </w:r>
      <w:r>
        <w:rPr>
          <w:rFonts w:ascii="Times New Roman" w:eastAsia="Times New Roman" w:hAnsi="Times New Roman" w:cs="Times New Roman"/>
          <w:color w:val="000000"/>
          <w:spacing w:val="0"/>
          <w:w w:val="100"/>
          <w:position w:val="0"/>
          <w:shd w:val="clear" w:color="auto" w:fill="auto"/>
          <w:lang w:val="en-US" w:eastAsia="en-US" w:bidi="en-US"/>
        </w:rPr>
        <w:t xml:space="preserve"> 1828) and published anonymously in London. Meanwhile he had returned to America, where he published his first novel, also in English,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Tokeah, or the White Rose</w:t>
      </w:r>
      <w:r>
        <w:rPr>
          <w:rFonts w:ascii="Times New Roman" w:eastAsia="Times New Roman" w:hAnsi="Times New Roman" w:cs="Times New Roman"/>
          <w:color w:val="000000"/>
          <w:spacing w:val="0"/>
          <w:w w:val="100"/>
          <w:position w:val="0"/>
          <w:shd w:val="clear" w:color="auto" w:fill="auto"/>
          <w:lang w:val="en-US" w:eastAsia="en-US" w:bidi="en-US"/>
        </w:rPr>
        <w:t xml:space="preserve"> (1828). He now turned journalist, first in New York and subsequently in Paris and London, as correspondent for various journals. In 1832 he settled in Switzerland, and in i860 purchased a small estate near </w:t>
      </w:r>
      <w:r>
        <w:rPr>
          <w:rFonts w:ascii="Times New Roman" w:eastAsia="Times New Roman" w:hAnsi="Times New Roman" w:cs="Times New Roman"/>
          <w:color w:val="000000"/>
          <w:spacing w:val="0"/>
          <w:w w:val="100"/>
          <w:position w:val="0"/>
          <w:shd w:val="clear" w:color="auto" w:fill="auto"/>
          <w:lang w:val="de-DE" w:eastAsia="de-DE" w:bidi="de-DE"/>
        </w:rPr>
        <w:t xml:space="preserve">Solothurn. </w:t>
      </w:r>
      <w:r>
        <w:rPr>
          <w:rFonts w:ascii="Times New Roman" w:eastAsia="Times New Roman" w:hAnsi="Times New Roman" w:cs="Times New Roman"/>
          <w:color w:val="000000"/>
          <w:spacing w:val="0"/>
          <w:w w:val="100"/>
          <w:position w:val="0"/>
          <w:shd w:val="clear" w:color="auto" w:fill="auto"/>
          <w:lang w:val="en-US" w:eastAsia="en-US" w:bidi="en-US"/>
        </w:rPr>
        <w:t>Here he died on the 26th of May 1864. His will first revealed the fact that he was the former monk, Postl.</w:t>
      </w:r>
    </w:p>
    <w:p>
      <w:pPr>
        <w:pStyle w:val="Style1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as a German novelist that he is best known. His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Tokeah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German under the title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Legitime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Republi</w:t>
        <w:softHyphen/>
        <w:t>kaner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(1838), and was followed by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Virey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Aristokraten </w:t>
      </w:r>
      <w:r>
        <w:rPr>
          <w:rFonts w:ascii="Times New Roman" w:eastAsia="Times New Roman" w:hAnsi="Times New Roman" w:cs="Times New Roman"/>
          <w:color w:val="000000"/>
          <w:spacing w:val="0"/>
          <w:w w:val="100"/>
          <w:position w:val="0"/>
          <w:shd w:val="clear" w:color="auto" w:fill="auto"/>
          <w:lang w:val="en-US" w:eastAsia="en-US" w:bidi="en-US"/>
        </w:rPr>
        <w:t xml:space="preserve">(1835).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Lebensbilder aus beiden Hemisphären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(1835-1837),</w:t>
      </w:r>
    </w:p>
    <w:p>
      <w:pPr>
        <w:pStyle w:val="Style1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Land- und Seebilder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(1838),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Das Ka jütenbuch, oder Nationale Charak</w:t>
        <w:softHyphen/>
        <w:t>teristiken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(1842). </w:t>
      </w:r>
      <w:r>
        <w:rPr>
          <w:rFonts w:ascii="Times New Roman" w:eastAsia="Times New Roman" w:hAnsi="Times New Roman" w:cs="Times New Roman"/>
          <w:color w:val="000000"/>
          <w:spacing w:val="0"/>
          <w:w w:val="100"/>
          <w:position w:val="0"/>
          <w:shd w:val="clear" w:color="auto" w:fill="auto"/>
          <w:lang w:val="de-DE" w:eastAsia="de-DE" w:bidi="de-DE"/>
        </w:rPr>
        <w:t xml:space="preserve">Sealsfield </w:t>
      </w:r>
      <w:r>
        <w:rPr>
          <w:rFonts w:ascii="Times New Roman" w:eastAsia="Times New Roman" w:hAnsi="Times New Roman" w:cs="Times New Roman"/>
          <w:color w:val="000000"/>
          <w:spacing w:val="0"/>
          <w:w w:val="100"/>
          <w:position w:val="0"/>
          <w:shd w:val="clear" w:color="auto" w:fill="auto"/>
          <w:lang w:val="en-US" w:eastAsia="en-US" w:bidi="en-US"/>
        </w:rPr>
        <w:t xml:space="preserve">occupies </w:t>
      </w:r>
      <w:r>
        <w:rPr>
          <w:rFonts w:ascii="Times New Roman" w:eastAsia="Times New Roman" w:hAnsi="Times New Roman" w:cs="Times New Roman"/>
          <w:color w:val="000000"/>
          <w:spacing w:val="0"/>
          <w:w w:val="100"/>
          <w:position w:val="0"/>
          <w:shd w:val="clear" w:color="auto" w:fill="auto"/>
          <w:lang w:val="de-DE" w:eastAsia="de-DE" w:bidi="de-DE"/>
        </w:rPr>
        <w:t xml:space="preserve">an important </w:t>
      </w:r>
      <w:r>
        <w:rPr>
          <w:rFonts w:ascii="Times New Roman" w:eastAsia="Times New Roman" w:hAnsi="Times New Roman" w:cs="Times New Roman"/>
          <w:color w:val="000000"/>
          <w:spacing w:val="0"/>
          <w:w w:val="100"/>
          <w:position w:val="0"/>
          <w:shd w:val="clear" w:color="auto" w:fill="auto"/>
          <w:lang w:val="en-US" w:eastAsia="en-US" w:bidi="en-US"/>
        </w:rPr>
        <w:t xml:space="preserve">position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development of the German historical novel at a period when Scott’s influence was beginning to wane. He endeavoured to widen the scope of historical fiction, to describe great national and political movements, without forfeiting the sympathy of his readers for the individual characters of the story.</w:t>
      </w:r>
    </w:p>
    <w:p>
      <w:pPr>
        <w:pStyle w:val="Style15"/>
        <w:keepNext w:val="0"/>
        <w:keepLines w:val="0"/>
        <w:widowControl w:val="0"/>
        <w:shd w:val="clear" w:color="auto" w:fill="auto"/>
        <w:bidi w:val="0"/>
        <w:ind w:left="0" w:firstLine="36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Sealsfield’s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Gesammelte Werke</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appeared in 18 </w:t>
      </w:r>
      <w:r>
        <w:rPr>
          <w:rFonts w:ascii="Times New Roman" w:eastAsia="Times New Roman" w:hAnsi="Times New Roman" w:cs="Times New Roman"/>
          <w:color w:val="000000"/>
          <w:spacing w:val="0"/>
          <w:w w:val="100"/>
          <w:position w:val="0"/>
          <w:sz w:val="15"/>
          <w:szCs w:val="15"/>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(1843-1846); his chief novels are also to be obtained in modern reprints. See Kertbény,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Erinnerungen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 Sealsfield</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(1864); L. </w:t>
      </w:r>
      <w:r>
        <w:rPr>
          <w:rFonts w:ascii="Times New Roman" w:eastAsia="Times New Roman" w:hAnsi="Times New Roman" w:cs="Times New Roman"/>
          <w:color w:val="000000"/>
          <w:spacing w:val="0"/>
          <w:w w:val="100"/>
          <w:position w:val="0"/>
          <w:sz w:val="15"/>
          <w:szCs w:val="15"/>
          <w:shd w:val="clear" w:color="auto" w:fill="auto"/>
          <w:lang w:val="de-DE" w:eastAsia="de-DE" w:bidi="de-DE"/>
        </w:rPr>
        <w:t xml:space="preserve">Schmolle,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Charles</w:t>
      </w:r>
    </w:p>
    <w:p>
      <w:pPr>
        <w:pStyle w:val="Style6"/>
        <w:keepNext w:val="0"/>
        <w:keepLines w:val="0"/>
        <w:widowControl w:val="0"/>
        <w:shd w:val="clear" w:color="auto" w:fill="auto"/>
        <w:bidi w:val="0"/>
        <w:ind w:left="0" w:firstLine="0"/>
        <w:jc w:val="left"/>
        <w:rPr>
          <w:sz w:val="15"/>
          <w:szCs w:val="15"/>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Sealsfield</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 (1875); L. Hamburger,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Seαlsfield-Postl, </w:t>
      </w:r>
      <w:r>
        <w:rPr>
          <w:rFonts w:ascii="Times New Roman" w:eastAsia="Times New Roman" w:hAnsi="Times New Roman" w:cs="Times New Roman"/>
          <w:color w:val="000000"/>
          <w:spacing w:val="0"/>
          <w:w w:val="100"/>
          <w:position w:val="0"/>
          <w:sz w:val="14"/>
          <w:szCs w:val="14"/>
          <w:shd w:val="clear" w:color="auto" w:fill="auto"/>
          <w:lang w:val="de-DE" w:eastAsia="de-DE" w:bidi="de-DE"/>
        </w:rPr>
        <w:t>bisher unveröffent</w:t>
        <w:softHyphen/>
        <w:t>lichte Briefe</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 xml:space="preserve">(1879); </w:t>
      </w:r>
      <w:r>
        <w:rPr>
          <w:rFonts w:ascii="Times New Roman" w:eastAsia="Times New Roman" w:hAnsi="Times New Roman" w:cs="Times New Roman"/>
          <w:i w:val="0"/>
          <w:iCs w:val="0"/>
          <w:color w:val="000000"/>
          <w:spacing w:val="0"/>
          <w:w w:val="100"/>
          <w:position w:val="0"/>
          <w:sz w:val="15"/>
          <w:szCs w:val="15"/>
          <w:shd w:val="clear" w:color="auto" w:fill="auto"/>
          <w:lang w:val="fr-FR" w:eastAsia="fr-FR" w:bidi="fr-FR"/>
        </w:rPr>
        <w:t xml:space="preserve">A. B. Faust,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Charles Sealsfield, </w:t>
      </w:r>
      <w:r>
        <w:rPr>
          <w:rFonts w:ascii="Times New Roman" w:eastAsia="Times New Roman" w:hAnsi="Times New Roman" w:cs="Times New Roman"/>
          <w:color w:val="000000"/>
          <w:spacing w:val="0"/>
          <w:w w:val="100"/>
          <w:position w:val="0"/>
          <w:sz w:val="14"/>
          <w:szCs w:val="14"/>
          <w:shd w:val="clear" w:color="auto" w:fill="auto"/>
          <w:lang w:val="de-DE" w:eastAsia="de-DE" w:bidi="de-DE"/>
        </w:rPr>
        <w:t>der Dichter beider Hemisphären</w:t>
      </w:r>
      <w:r>
        <w:rPr>
          <w:rFonts w:ascii="Times New Roman" w:eastAsia="Times New Roman" w:hAnsi="Times New Roman" w:cs="Times New Roman"/>
          <w:i w:val="0"/>
          <w:iCs w:val="0"/>
          <w:color w:val="000000"/>
          <w:spacing w:val="0"/>
          <w:w w:val="100"/>
          <w:position w:val="0"/>
          <w:sz w:val="15"/>
          <w:szCs w:val="15"/>
          <w:shd w:val="clear" w:color="auto" w:fill="auto"/>
          <w:lang w:val="de-DE" w:eastAsia="de-DE" w:bidi="de-DE"/>
        </w:rPr>
        <w:t xml:space="preserve"> </w:t>
      </w:r>
      <w:r>
        <w:rPr>
          <w:rFonts w:ascii="Times New Roman" w:eastAsia="Times New Roman" w:hAnsi="Times New Roman" w:cs="Times New Roman"/>
          <w:i w:val="0"/>
          <w:iCs w:val="0"/>
          <w:color w:val="000000"/>
          <w:spacing w:val="0"/>
          <w:w w:val="100"/>
          <w:position w:val="0"/>
          <w:sz w:val="15"/>
          <w:szCs w:val="15"/>
          <w:shd w:val="clear" w:color="auto" w:fill="auto"/>
          <w:lang w:val="en-US" w:eastAsia="en-US" w:bidi="en-US"/>
        </w:rPr>
        <w:t>(1896).</w:t>
      </w:r>
    </w:p>
    <w:p>
      <w:pPr>
        <w:pStyle w:val="Style3"/>
        <w:keepNext w:val="0"/>
        <w:keepLines w:val="0"/>
        <w:widowControl w:val="0"/>
        <w:shd w:val="clear" w:color="auto" w:fill="auto"/>
        <w:tabs>
          <w:tab w:pos="248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SEAMAN, OWEN </w:t>
      </w:r>
      <w:r>
        <w:rPr>
          <w:rFonts w:ascii="Times New Roman" w:eastAsia="Times New Roman" w:hAnsi="Times New Roman" w:cs="Times New Roman"/>
          <w:color w:val="000000"/>
          <w:spacing w:val="0"/>
          <w:w w:val="100"/>
          <w:position w:val="0"/>
          <w:shd w:val="clear" w:color="auto" w:fill="auto"/>
          <w:lang w:val="en-US" w:eastAsia="en-US" w:bidi="en-US"/>
        </w:rPr>
        <w:t>(1861-</w:t>
        <w:tab/>
        <w:t>), English humorist and author,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educated at Shrewsbury school and Clare College, Cambridge, where he took a first-class in the classical tripos in 1883; in the next year he became a master at Rossall school; and in 1890 he was appointed professor of literature at the Durham College of Science, Newcastle-on-Tyne. He was called to the bar at the Inner Temple in 1897. He was introduced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in 1894, with his “ Rhyme of the Kipperling,” a parody of Rudyard Kipling’s “ Rhyme of the Three Sealers.” He also wrote for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National Observer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World.</w:t>
      </w:r>
      <w:r>
        <w:rPr>
          <w:rFonts w:ascii="Times New Roman" w:eastAsia="Times New Roman" w:hAnsi="Times New Roman" w:cs="Times New Roman"/>
          <w:color w:val="000000"/>
          <w:spacing w:val="0"/>
          <w:w w:val="100"/>
          <w:position w:val="0"/>
          <w:shd w:val="clear" w:color="auto" w:fill="auto"/>
          <w:lang w:val="en-US" w:eastAsia="en-US" w:bidi="en-US"/>
        </w:rPr>
        <w:t xml:space="preserve"> In 1894 he published a volume of parodies which is a classic of its kind,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Horace at Cambridge,</w:t>
      </w:r>
      <w:r>
        <w:rPr>
          <w:rFonts w:ascii="Times New Roman" w:eastAsia="Times New Roman" w:hAnsi="Times New Roman" w:cs="Times New Roman"/>
          <w:color w:val="000000"/>
          <w:spacing w:val="0"/>
          <w:w w:val="100"/>
          <w:position w:val="0"/>
          <w:shd w:val="clear" w:color="auto" w:fill="auto"/>
          <w:lang w:val="en-US" w:eastAsia="en-US" w:bidi="en-US"/>
        </w:rPr>
        <w:t xml:space="preserve"> followed by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Battle of the Bays</w:t>
      </w:r>
      <w:r>
        <w:rPr>
          <w:rFonts w:ascii="Times New Roman" w:eastAsia="Times New Roman" w:hAnsi="Times New Roman" w:cs="Times New Roman"/>
          <w:color w:val="000000"/>
          <w:spacing w:val="0"/>
          <w:w w:val="100"/>
          <w:position w:val="0"/>
          <w:shd w:val="clear" w:color="auto" w:fill="auto"/>
          <w:lang w:val="en-US" w:eastAsia="en-US" w:bidi="en-US"/>
        </w:rPr>
        <w:t xml:space="preserve"> (1896),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In Cap and Bells</w:t>
      </w:r>
      <w:r>
        <w:rPr>
          <w:rFonts w:ascii="Times New Roman" w:eastAsia="Times New Roman" w:hAnsi="Times New Roman" w:cs="Times New Roman"/>
          <w:color w:val="000000"/>
          <w:spacing w:val="0"/>
          <w:w w:val="100"/>
          <w:position w:val="0"/>
          <w:shd w:val="clear" w:color="auto" w:fill="auto"/>
          <w:lang w:val="en-US" w:eastAsia="en-US" w:bidi="en-US"/>
        </w:rPr>
        <w:t xml:space="preserve"> (1899),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Borrowed Plumes</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 Harvest of Chaff</w:t>
      </w:r>
      <w:r>
        <w:rPr>
          <w:rFonts w:ascii="Times New Roman" w:eastAsia="Times New Roman" w:hAnsi="Times New Roman" w:cs="Times New Roman"/>
          <w:color w:val="000000"/>
          <w:spacing w:val="0"/>
          <w:w w:val="100"/>
          <w:position w:val="0"/>
          <w:shd w:val="clear" w:color="auto" w:fill="auto"/>
          <w:lang w:val="en-US" w:eastAsia="en-US" w:bidi="en-US"/>
        </w:rPr>
        <w:t xml:space="preserve"> (1904). He joined the staff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Punch</w:t>
      </w:r>
      <w:r>
        <w:rPr>
          <w:rFonts w:ascii="Times New Roman" w:eastAsia="Times New Roman" w:hAnsi="Times New Roman" w:cs="Times New Roman"/>
          <w:color w:val="000000"/>
          <w:spacing w:val="0"/>
          <w:w w:val="100"/>
          <w:position w:val="0"/>
          <w:shd w:val="clear" w:color="auto" w:fill="auto"/>
          <w:lang w:val="en-US" w:eastAsia="en-US" w:bidi="en-US"/>
        </w:rPr>
        <w:t xml:space="preserve"> in 1897, and shortly afterwards became assistant-editor, succeeding Sir F. C. Burnand as editor in 1906.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SEAMANSHIP, the general term for the art by which vessels of all classes and sizes are handled in all conditions of weather. It is commonly distinguished from “ boatmanship,” but the distinction is arbitrary. In ordinary speech it is frequently used as meaning the same thing as navigation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two subjects are essentially different. Navigation is a science based on observation of the sun and stars in their apparent movements, on their bearings to one another, and the earth, and on time. It may be acquired from the study of books, and by a student who has never been in sight of the sea. Seamanship is an art. Its principles may be stated in literary form, but a mastery of it can only be acquired by actual practice on the sea. The art is far older than the science, but because of its practical character its history is much more difficult to trace. Navigation, being one form of the study of mathematics and astronomy, has been written about from the beginning. Seamanship has been practised in perfection by men who were perfectly illiterate for thousands of years before any treatise on it appeared. Sea</w:t>
        <w:softHyphen/>
        <w:t xml:space="preserve">men have at all times been, as Clarendon noted, a people apart. Till recently they have believed in practice only, and being jealous of, and hostile to, landsmen, have generally endeavoured to preserve their knowledge as an “ art and mystery ” to be handed down by oral instruction from master to apprentice. Sir Henry Manwayring, whose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Seaman's Dictionary</w:t>
      </w:r>
      <w:r>
        <w:rPr>
          <w:rFonts w:ascii="Times New Roman" w:eastAsia="Times New Roman" w:hAnsi="Times New Roman" w:cs="Times New Roman"/>
          <w:color w:val="000000"/>
          <w:spacing w:val="0"/>
          <w:w w:val="100"/>
          <w:position w:val="0"/>
          <w:shd w:val="clear" w:color="auto" w:fill="auto"/>
          <w:lang w:val="en-US" w:eastAsia="en-US" w:bidi="en-US"/>
        </w:rPr>
        <w:t xml:space="preserve"> appeared in 1644, claimed that it was the first treatise on seamanship ever written. After explaining that a writer who had not acquired the art by practice could not expound it, he goes on: “ And as for the professed Seamen, they either want ability and dexterity to express themselves, or (as they do generally) will, to instruct any Gentleman. If any will tell me why the vulgar sort of Seamen hate landmen so much, either he or I may give the reason why they are so unwilling to instruct them in their art, whence it is that so many gentlemen go long voyages, and return (in a manner) as ignorant and as unable to do their country service as when they went out.” Though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Seaman's Dictionary </w:t>
      </w:r>
      <w:r>
        <w:rPr>
          <w:rFonts w:ascii="Times New Roman" w:eastAsia="Times New Roman" w:hAnsi="Times New Roman" w:cs="Times New Roman"/>
          <w:color w:val="000000"/>
          <w:spacing w:val="0"/>
          <w:w w:val="100"/>
          <w:position w:val="0"/>
          <w:shd w:val="clear" w:color="auto" w:fill="auto"/>
          <w:lang w:val="en-US" w:eastAsia="en-US" w:bidi="en-US"/>
        </w:rPr>
        <w:t xml:space="preserve">did not appear in print till 1644, it is described on the title-page as having been presented to George Villiers, duke of Buckingham, the lord high admiral of Charles I., who was murdered in 1628. Manwayring’s book is therefore probably, if not the first treatise on seamanship written in English, at least as old as its only rival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Accidences, or the pathway to experience necessary for all young seamen,</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1626, by the famous Captain John Smith, of Virginia. On the continent of Europe, as in England, while works on navigation and gunnery were common, treatises on practical seamanship date from the 17th century. The books of Manwayring and Smith are rather glossaries of terms than expositions of principles.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therefore left with very few documents from which to learn what the seamanship of antiquity and the middle ages was. But such testimony as we have confirms the conclusion to be drawn from our general knowledge of the construction of their ships, and of the scientific learning of their times. The old seamen were coasters, who acted on the fisherman’s adage—</w:t>
      </w:r>
    </w:p>
    <w:sectPr>
      <w:footnotePr>
        <w:pos w:val="pageBottom"/>
        <w:numFmt w:val="decimal"/>
        <w:numRestart w:val="continuous"/>
      </w:footnotePr>
      <w:pgSz w:w="12240" w:h="15840"/>
      <w:pgMar w:top="802" w:left="842" w:right="979" w:bottom="7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5)_"/>
    <w:basedOn w:val="DefaultParagraphFont"/>
    <w:link w:val="Style6"/>
    <w:rPr>
      <w:rFonts w:ascii="Arial" w:eastAsia="Arial" w:hAnsi="Arial" w:cs="Arial"/>
      <w:b w:val="0"/>
      <w:bCs w:val="0"/>
      <w:i/>
      <w:iCs/>
      <w:smallCaps w:val="0"/>
      <w:strike w:val="0"/>
      <w:sz w:val="14"/>
      <w:szCs w:val="14"/>
      <w:u w:val="none"/>
    </w:rPr>
  </w:style>
  <w:style w:type="character" w:customStyle="1" w:styleId="CharStyle16">
    <w:name w:val="Body text (4)_"/>
    <w:basedOn w:val="DefaultParagraphFont"/>
    <w:link w:val="Style15"/>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 w:type="paragraph" w:customStyle="1" w:styleId="Style15">
    <w:name w:val="Body text (4)"/>
    <w:basedOn w:val="Normal"/>
    <w:link w:val="CharStyle16"/>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