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replies, being held to be an attack on Christianity. Dealing only with Christ’s humanity, it dwells on his work as the founder and king of a theocratic state, and points out the effect which this society, his church, has had upon the standard and active practice of morality among men. Some who comdemned the book seem to have forgotten that it was avowedly “ a fragment,” and that the author does not deny the truth of doctrines which he does not discuss. Its literary merit is unquestionable; it is written with vigour and dignity; its short and pointed sentences are never jerky, and there is a certain stateliness in the admirable order of their sequence. His later essay 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 which, premising that supernaturalism is not essential to religion, maintains that the negations of science tend to purify rather than destroy Christianity, satisfied neither the Christian nor the scientist, and though well written excited far less interest than his earlier work. In 1869 he was appointed professor of modern history at Cambridge. His influence as a teacher was stimulating; he prepared his lectures carefully and they were largely attended. In historical work he is distinguished as a thinker rather than a scholar. Avoiding research and disliking all attempts at a picturesque representation of the past, he valued history solely in its relation to politics, as the science of the state. He maintained that it should be studied scientifically and for a practical purpose, that its function was the solution of existing political questions. Hence he naturally devoted himself mainly to recent history, and specially to the relations between England and other states.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Life and Times of Stein,</w:t>
      </w:r>
      <w:r>
        <w:rPr>
          <w:rFonts w:ascii="Times New Roman" w:eastAsia="Times New Roman" w:hAnsi="Times New Roman" w:cs="Times New Roman"/>
          <w:color w:val="000000"/>
          <w:spacing w:val="0"/>
          <w:w w:val="100"/>
          <w:position w:val="0"/>
          <w:shd w:val="clear" w:color="auto" w:fill="auto"/>
          <w:lang w:val="en-US" w:eastAsia="en-US" w:bidi="en-US"/>
        </w:rPr>
        <w:t xml:space="preserve"> a valuable narrative of the anti-Napoleonic revolt, led by Prussia mainly at Stein’s instigation, was written under German influence, and shows little of the style of his short essays. Its length, its colourlessness, and the space it devotes to subsidiary matters render it unattractive. Far otherwise is it with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Expansion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(1883). Written in his best manner, this essay answers to his theory that history should be used for a practical purpose; it points out how and why Great Britain gained her colonies and India, the character of her empire, and the light in which it should be regarded. As an historical essay the book is a fine composition, and as a defence of the empire is unanswerable and inspiring. It appeared at an opportune time, and did much to make Englishmen regard the colonies, not as mere appendages, but as an expansion of the British state as well as of British nationality, and to remind them of the value of Great Britain’s empire in the East. Seeley was rewarded for this public service by being made K.C.M.G., on the recommendation of Lord Rosebery. His last book,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The Growth of British Policy, </w:t>
      </w:r>
      <w:r>
        <w:rPr>
          <w:rFonts w:ascii="Times New Roman" w:eastAsia="Times New Roman" w:hAnsi="Times New Roman" w:cs="Times New Roman"/>
          <w:color w:val="000000"/>
          <w:spacing w:val="0"/>
          <w:w w:val="100"/>
          <w:position w:val="0"/>
          <w:shd w:val="clear" w:color="auto" w:fill="auto"/>
          <w:lang w:val="en-US" w:eastAsia="en-US" w:bidi="en-US"/>
        </w:rPr>
        <w:t>written as an essay and intended to be an introduction to a full account of the expansion of Great Britain, was published posthumously. Seeley died on the 13th of January 1895. He married in 1869 Miss Mary Agnes Phillott, who survived him.</w:t>
      </w:r>
    </w:p>
    <w:p>
      <w:pPr>
        <w:pStyle w:val="Style7"/>
        <w:keepNext w:val="0"/>
        <w:keepLines w:val="0"/>
        <w:widowControl w:val="0"/>
        <w:shd w:val="clear" w:color="auto" w:fill="auto"/>
        <w:tabs>
          <w:tab w:pos="416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 W. Prothero,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Memoir</w:t>
      </w:r>
      <w:r>
        <w:rPr>
          <w:rFonts w:ascii="Times New Roman" w:eastAsia="Times New Roman" w:hAnsi="Times New Roman" w:cs="Times New Roman"/>
          <w:color w:val="000000"/>
          <w:spacing w:val="0"/>
          <w:w w:val="100"/>
          <w:position w:val="0"/>
          <w:shd w:val="clear" w:color="auto" w:fill="auto"/>
          <w:lang w:val="en-US" w:eastAsia="en-US" w:bidi="en-US"/>
        </w:rPr>
        <w:t xml:space="preserve"> prefixed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Growth of British Policy </w:t>
      </w:r>
      <w:r>
        <w:rPr>
          <w:rFonts w:ascii="Times New Roman" w:eastAsia="Times New Roman" w:hAnsi="Times New Roman" w:cs="Times New Roman"/>
          <w:color w:val="000000"/>
          <w:spacing w:val="0"/>
          <w:w w:val="100"/>
          <w:position w:val="0"/>
          <w:shd w:val="clear" w:color="auto" w:fill="auto"/>
          <w:lang w:val="en-US" w:eastAsia="en-US" w:bidi="en-US"/>
        </w:rPr>
        <w:t>(London, 1895).</w:t>
        <w:tab/>
        <w:t>(W. Hu.)</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SÉES, a town of north-western France,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on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3 m. from its source and 13 m. N.N.E. of </w:t>
      </w:r>
      <w:r>
        <w:rPr>
          <w:rFonts w:ascii="Times New Roman" w:eastAsia="Times New Roman" w:hAnsi="Times New Roman" w:cs="Times New Roman"/>
          <w:color w:val="000000"/>
          <w:spacing w:val="0"/>
          <w:w w:val="100"/>
          <w:position w:val="0"/>
          <w:shd w:val="clear" w:color="auto" w:fill="auto"/>
          <w:lang w:val="fr-FR" w:eastAsia="fr-FR" w:bidi="fr-FR"/>
        </w:rPr>
        <w:t xml:space="preserve">Alençon </w:t>
      </w:r>
      <w:r>
        <w:rPr>
          <w:rFonts w:ascii="Times New Roman" w:eastAsia="Times New Roman" w:hAnsi="Times New Roman" w:cs="Times New Roman"/>
          <w:color w:val="000000"/>
          <w:spacing w:val="0"/>
          <w:w w:val="100"/>
          <w:position w:val="0"/>
          <w:shd w:val="clear" w:color="auto" w:fill="auto"/>
          <w:lang w:val="en-US" w:eastAsia="en-US" w:bidi="en-US"/>
        </w:rPr>
        <w:t>by rail. Pop. (1906) town, 2612; commune, 3982. The town is a bishop’s see and has a Gothic cathedral remarkable for the boldness of its architecture. The church dates from the r3th and r4th centuries and occupies the site of three earlier churches. The west front, which is disfigured by the buttresses projecting beyond it, has two stately spires of open work 230 ft. high. The nave was built towards the end of the 13th century. The choir, built soon afterwards, is remarkable for the lightness of its construction. In the choir are four bas-reliefs of great beauty representing scenes in the life of the Virgin; and the altar is adorned with another depicting the removal of the relics of St Gervais and St Protais. The church has constantly been the object of restoration and reconstruction. Other noteworthy buildings are the episcopal palace (1778), with a pretty chapel; the higher seminary, located in the old abbey of St Martin (supposed to be one of the fourteen or fifteen monasteries founded in the 6th century by St Evroult); and the sumptuous modern chapel of the Immaculate Conception, a resort of pilgrims.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bishop of Sées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Saium, Sagium)</w:t>
      </w:r>
      <w:r>
        <w:rPr>
          <w:rFonts w:ascii="Times New Roman" w:eastAsia="Times New Roman" w:hAnsi="Times New Roman" w:cs="Times New Roman"/>
          <w:color w:val="000000"/>
          <w:spacing w:val="0"/>
          <w:w w:val="100"/>
          <w:position w:val="0"/>
          <w:shd w:val="clear" w:color="auto" w:fill="auto"/>
          <w:lang w:val="en-US" w:eastAsia="en-US" w:bidi="en-US"/>
        </w:rPr>
        <w:t xml:space="preserve"> was St Lain, who lived about the 4th century. In the 9th century Sées was a fortified town and fell a prey to the Normans. At that period Sées consisted of two distinct parts, separated by the </w:t>
      </w:r>
      <w:r>
        <w:rPr>
          <w:rFonts w:ascii="Times New Roman" w:eastAsia="Times New Roman" w:hAnsi="Times New Roman" w:cs="Times New Roman"/>
          <w:color w:val="000000"/>
          <w:spacing w:val="0"/>
          <w:w w:val="100"/>
          <w:position w:val="0"/>
          <w:shd w:val="clear" w:color="auto" w:fill="auto"/>
          <w:lang w:val="fr-FR" w:eastAsia="fr-FR" w:bidi="fr-FR"/>
        </w:rPr>
        <w:t>Orne</w:t>
      </w:r>
      <w:r>
        <w:rPr>
          <w:rFonts w:ascii="Times New Roman" w:eastAsia="Times New Roman" w:hAnsi="Times New Roman" w:cs="Times New Roman"/>
          <w:color w:val="000000"/>
          <w:spacing w:val="0"/>
          <w:w w:val="100"/>
          <w:position w:val="0"/>
          <w:shd w:val="clear" w:color="auto" w:fill="auto"/>
          <w:lang w:val="en-US" w:eastAsia="en-US" w:bidi="en-US"/>
        </w:rPr>
        <w:t>—the bishop’s burgh, and to the south, the new or count’s burgh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Bourg 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Comte).</w:t>
      </w:r>
      <w:r>
        <w:rPr>
          <w:rFonts w:ascii="Times New Roman" w:eastAsia="Times New Roman" w:hAnsi="Times New Roman" w:cs="Times New Roman"/>
          <w:color w:val="000000"/>
          <w:spacing w:val="0"/>
          <w:w w:val="100"/>
          <w:position w:val="0"/>
          <w:shd w:val="clear" w:color="auto" w:fill="auto"/>
          <w:lang w:val="en-US" w:eastAsia="en-US" w:bidi="en-US"/>
        </w:rPr>
        <w:t xml:space="preserve"> From 1356 the counts of </w:t>
      </w:r>
      <w:r>
        <w:rPr>
          <w:rFonts w:ascii="Times New Roman" w:eastAsia="Times New Roman" w:hAnsi="Times New Roman" w:cs="Times New Roman"/>
          <w:color w:val="000000"/>
          <w:spacing w:val="0"/>
          <w:w w:val="100"/>
          <w:position w:val="0"/>
          <w:shd w:val="clear" w:color="auto" w:fill="auto"/>
          <w:lang w:val="fr-FR" w:eastAsia="fr-FR" w:bidi="fr-FR"/>
        </w:rPr>
        <w:t xml:space="preserve">Alençon </w:t>
      </w:r>
      <w:r>
        <w:rPr>
          <w:rFonts w:ascii="Times New Roman" w:eastAsia="Times New Roman" w:hAnsi="Times New Roman" w:cs="Times New Roman"/>
          <w:color w:val="000000"/>
          <w:spacing w:val="0"/>
          <w:w w:val="100"/>
          <w:position w:val="0"/>
          <w:shd w:val="clear" w:color="auto" w:fill="auto"/>
          <w:lang w:val="en-US" w:eastAsia="en-US" w:bidi="en-US"/>
        </w:rPr>
        <w:t>were its possessors. It was captured and recaptured in the wars between Henry II. of England and his sons. In the Hundred Years’ War it was one of the first towns of Normandy to fall into the hands of the English (1418). Pillaged by the Protestants during the Wars of Religion, Sées attached itself to the League in 1589, but voluntarily surrendered to Henry IV. in 1590.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SEETZEN, ULRICH JASPER (1767-1811), German explorer of Arabia and Palestine, was born, the son of a yeoman, in the little lordship of </w:t>
      </w:r>
      <w:r>
        <w:rPr>
          <w:rFonts w:ascii="Times New Roman" w:eastAsia="Times New Roman" w:hAnsi="Times New Roman" w:cs="Times New Roman"/>
          <w:color w:val="000000"/>
          <w:spacing w:val="0"/>
          <w:w w:val="100"/>
          <w:position w:val="0"/>
          <w:shd w:val="clear" w:color="auto" w:fill="auto"/>
          <w:lang w:val="de-DE" w:eastAsia="de-DE" w:bidi="de-DE"/>
        </w:rPr>
        <w:t xml:space="preserve">Jever </w:t>
      </w:r>
      <w:r>
        <w:rPr>
          <w:rFonts w:ascii="Times New Roman" w:eastAsia="Times New Roman" w:hAnsi="Times New Roman" w:cs="Times New Roman"/>
          <w:color w:val="000000"/>
          <w:spacing w:val="0"/>
          <w:w w:val="100"/>
          <w:position w:val="0"/>
          <w:shd w:val="clear" w:color="auto" w:fill="auto"/>
          <w:lang w:val="en-US" w:eastAsia="en-US" w:bidi="en-US"/>
        </w:rPr>
        <w:t xml:space="preserve">in German Frisia on the 3oth of January 1767. His father, who was a man of substance, sent him to the university of Göttingen, where he graduated in medicine. His chief interests, however, were in natural history and technology; he wrote papers on both these subjects which gained him some reputation, and had both in view in making a series of journeys through Holland and Germany. He also engaged in various small manufactures, and in 1802 obtained a government post in </w:t>
      </w:r>
      <w:r>
        <w:rPr>
          <w:rFonts w:ascii="Times New Roman" w:eastAsia="Times New Roman" w:hAnsi="Times New Roman" w:cs="Times New Roman"/>
          <w:color w:val="000000"/>
          <w:spacing w:val="0"/>
          <w:w w:val="100"/>
          <w:position w:val="0"/>
          <w:shd w:val="clear" w:color="auto" w:fill="auto"/>
          <w:lang w:val="de-DE" w:eastAsia="de-DE" w:bidi="de-DE"/>
        </w:rPr>
        <w:t xml:space="preserve">Jever. </w:t>
      </w:r>
      <w:r>
        <w:rPr>
          <w:rFonts w:ascii="Times New Roman" w:eastAsia="Times New Roman" w:hAnsi="Times New Roman" w:cs="Times New Roman"/>
          <w:color w:val="000000"/>
          <w:spacing w:val="0"/>
          <w:w w:val="100"/>
          <w:position w:val="0"/>
          <w:shd w:val="clear" w:color="auto" w:fill="auto"/>
          <w:lang w:val="en-US" w:eastAsia="en-US" w:bidi="en-US"/>
        </w:rPr>
        <w:t>In 1801, however, the interest which he had long felt in geographical exploration culminated in a resolution to travel. In the summer of 1802 he started down the Danube with a companion Jacobsen, who broke down at Smyrna a year later. His journey was by Constantinople, where he stayed six months, thence through Asia Minor to Smyrna, then again through the heart of Asia Minor to Aleppo, where he remained from November 1803 to April 1805, and made himself sufficiently at home with Arabic speech and ways to travel as a native. Now began the part of his travels of which a full journal has been published (April 1805 to March 1809), a series of most instructive journeys in eastern and western Palestine and the wilderness of Sinai, and so on to Cairo and the Fayum. His chief exploit was a tour round the Dead Sea, which he made without a companion and in the disguise of a beggar. From Egypt he went by sea to Jidda and reached Mecca as a pilgrim in October 1809. In Arabia he made extensive journeys, ranging from Medina to Lahak and returning to Mocha, from which place his last letters to Europe were written in November 1810. In September of the following year he left Mocha with the hope of reaching Muscat, and was found dead two days later, having, it is believed, been poisoned by the command of the imām of Sana.</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parts of Seetzen's journeys not covered by the published journal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{Reisen,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 Kruse, 4 vols., Berlin, 1854), the only printed records are a series of letters and papers in Zach’s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Monatliche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Corre- spondenz</w:t>
      </w:r>
      <w:r>
        <w:rPr>
          <w:rFonts w:ascii="Times New Roman" w:eastAsia="Times New Roman" w:hAnsi="Times New Roman" w:cs="Times New Roman"/>
          <w:color w:val="000000"/>
          <w:spacing w:val="0"/>
          <w:w w:val="100"/>
          <w:position w:val="0"/>
          <w:shd w:val="clear" w:color="auto" w:fill="auto"/>
          <w:lang w:val="en-US" w:eastAsia="en-US" w:bidi="en-US"/>
        </w:rPr>
        <w:t xml:space="preserve"> and Hammer’s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Fundgruben.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Many papers and collections were lost through his death or never reached Europe. The collections that were saved form the Oriental museum and the chief part of the Oriental MSS. of the ducal library in Gotha.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SEGANTINI, GIOVANNI (1858-1899), Italian painter, was born at Arco in the Trentino on the 15th of June 1858. His mother, who died in 1863, belonged to an old family of the mountain country. His father, who was a man of the people, went to Milan, whence he set forth with another son to seek his fortune, leaving Giovanni behind. At the age of seven the child ran away; he was found perishing of cold and hunger, and was obliged to earn his bread by keeping the flocks on the hills. He spent his long hours of solitude in drawing. Owing to his fame having reached the ears of a syndic, he was sent back to Milan ; but, unable to endure domestic life, he soon escaped again, and led a wandering life till he met at Arco with his half-brother, who offered him the place of cashier in his provision shop. After more flights and more returns, Segantini remained at Milan to attend classes at the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earning a living meanwhile by giving lessons and painting portraits. His first picture, “ The Choir of Sant Antonio,” was noticed for its powerful quality. After painting this, however, he shook himself free by degrees of academical teaching, as in his picture “ The Ship.” He subse- quently painted “ The Falconer ” and “ The Dead Hero,” and then settled in Brianza, near Como. There he gave himself up to the study of mountain life, and became in truth the painter of</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