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eldest son of the Rev. J. R. Senior, vicar of Durnford, Wilts. He was educated at Eton and Magdalen College, Oxford; at the university he was a private pupil of Richard Whately, afterwards archbishop of Dublin, with whom he remained connected by ties of lifelong friendship. He took the degree of B.A. in 1811, was called to the bar in 1819, and in 1836, during the chancellorship of Lord Cottenham, was appointed a master in chancery. On the foundation of the professorship of political economy at Oxford in 1825 Senior was elected to fill the chair, which he occupied till 1830, and again from 1847 to 1852. In 1830 he was requested by Lord Melbourne to inquire into the state of combinations and strikes, to report on the state of the law and to suggest improvements in it. He was a member of the Poor Law Inquiry Commission of 1832, and of the Handloom Weavers Commission of 1837; the report of the latter, published in 1841, was drawn up by him, and he embodied in it the substance of the report he had prepared some years before on combinations and strikes. He was also one of the commissioners appointed in 1861 to inquire into popular education in England. In the later years of his life, during his visits to foreign countries, he studied with much care the political and social phenomena they exhibited. Several volumes of his journals have been published, which contain much interesting matter on these topics, though the author probably rated too highly the value of this sort of social study. Senior was for many years a frequent contributor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Edinburgh, Quarterly, London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North British Reviews, </w:t>
      </w:r>
      <w:r>
        <w:rPr>
          <w:rFonts w:ascii="Times New Roman" w:eastAsia="Times New Roman" w:hAnsi="Times New Roman" w:cs="Times New Roman"/>
          <w:color w:val="000000"/>
          <w:spacing w:val="0"/>
          <w:w w:val="100"/>
          <w:position w:val="0"/>
          <w:shd w:val="clear" w:color="auto" w:fill="auto"/>
          <w:lang w:val="en-US" w:eastAsia="en-US" w:bidi="en-US"/>
        </w:rPr>
        <w:t>dealing in their pages with literary as well as with economic and political subjects. He died at Kensington on the 4th of June 1864.</w:t>
      </w:r>
    </w:p>
    <w:p>
      <w:pPr>
        <w:pStyle w:val="Style7"/>
        <w:keepNext w:val="0"/>
        <w:keepLines w:val="0"/>
        <w:widowControl w:val="0"/>
        <w:shd w:val="clear" w:color="auto" w:fill="auto"/>
        <w:bidi w:val="0"/>
        <w:spacing w:line="228"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His writings on economic theory consisted of an article in the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Encyclopaedia </w:t>
      </w:r>
      <w:r>
        <w:rPr>
          <w:rFonts w:ascii="Times New Roman" w:eastAsia="Times New Roman" w:hAnsi="Times New Roman" w:cs="Times New Roman"/>
          <w:color w:val="000000"/>
          <w:spacing w:val="0"/>
          <w:w w:val="100"/>
          <w:position w:val="0"/>
          <w:sz w:val="14"/>
          <w:szCs w:val="14"/>
          <w:shd w:val="clear" w:color="auto" w:fill="auto"/>
          <w:lang w:val="de-DE" w:eastAsia="de-DE" w:bidi="de-DE"/>
        </w:rPr>
        <w:t>Metropolitana,</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afterwards separately published as </w:t>
      </w:r>
      <w:r>
        <w:rPr>
          <w:rFonts w:ascii="Times New Roman" w:eastAsia="Times New Roman" w:hAnsi="Times New Roman" w:cs="Times New Roman"/>
          <w:color w:val="000000"/>
          <w:spacing w:val="0"/>
          <w:w w:val="100"/>
          <w:position w:val="0"/>
          <w:sz w:val="15"/>
          <w:szCs w:val="15"/>
          <w:shd w:val="clear" w:color="auto" w:fill="auto"/>
          <w:lang w:val="en-US" w:eastAsia="en-US" w:bidi="en-US"/>
        </w:rPr>
        <w:t>An</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Outline of the Science of Political Economy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(1836), and his lectures de- livered at Oxford. Of the latter the following were printed: </w:t>
      </w:r>
      <w:r>
        <w:rPr>
          <w:rFonts w:ascii="Times New Roman" w:eastAsia="Times New Roman" w:hAnsi="Times New Roman" w:cs="Times New Roman"/>
          <w:color w:val="000000"/>
          <w:spacing w:val="0"/>
          <w:w w:val="100"/>
          <w:position w:val="0"/>
          <w:sz w:val="14"/>
          <w:szCs w:val="14"/>
          <w:shd w:val="clear" w:color="auto" w:fill="auto"/>
          <w:lang w:val="en-US" w:eastAsia="en-US" w:bidi="en-US"/>
        </w:rPr>
        <w:t>An Introductory Lecture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(1827); </w:t>
      </w:r>
      <w:r>
        <w:rPr>
          <w:rFonts w:ascii="Times New Roman" w:eastAsia="Times New Roman" w:hAnsi="Times New Roman" w:cs="Times New Roman"/>
          <w:color w:val="000000"/>
          <w:spacing w:val="0"/>
          <w:w w:val="100"/>
          <w:position w:val="0"/>
          <w:sz w:val="14"/>
          <w:szCs w:val="14"/>
          <w:shd w:val="clear" w:color="auto" w:fill="auto"/>
          <w:lang w:val="en-US" w:eastAsia="en-US" w:bidi="en-US"/>
        </w:rPr>
        <w:t>Two Lectures on Population,</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with a correspondence between the author and Malthus (1831); </w:t>
      </w:r>
      <w:r>
        <w:rPr>
          <w:rFonts w:ascii="Times New Roman" w:eastAsia="Times New Roman" w:hAnsi="Times New Roman" w:cs="Times New Roman"/>
          <w:color w:val="000000"/>
          <w:spacing w:val="0"/>
          <w:w w:val="100"/>
          <w:position w:val="0"/>
          <w:sz w:val="14"/>
          <w:szCs w:val="14"/>
          <w:shd w:val="clear" w:color="auto" w:fill="auto"/>
          <w:lang w:val="en-US" w:eastAsia="en-US" w:bidi="en-US"/>
        </w:rPr>
        <w:t>Three Lectures on the Transmission of the Precious Metals from Country to Country, and the Mercantile Theory of Wealth</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(1828); </w:t>
      </w:r>
      <w:r>
        <w:rPr>
          <w:rFonts w:ascii="Times New Roman" w:eastAsia="Times New Roman" w:hAnsi="Times New Roman" w:cs="Times New Roman"/>
          <w:color w:val="000000"/>
          <w:spacing w:val="0"/>
          <w:w w:val="100"/>
          <w:position w:val="0"/>
          <w:sz w:val="14"/>
          <w:szCs w:val="14"/>
          <w:shd w:val="clear" w:color="auto" w:fill="auto"/>
          <w:lang w:val="en-US" w:eastAsia="en-US" w:bidi="en-US"/>
        </w:rPr>
        <w:t>Three Lectures on the Cost of obtaining Money and on some Effects of Private and Government Paper Money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(1830); </w:t>
      </w:r>
      <w:r>
        <w:rPr>
          <w:rFonts w:ascii="Times New Roman" w:eastAsia="Times New Roman" w:hAnsi="Times New Roman" w:cs="Times New Roman"/>
          <w:color w:val="000000"/>
          <w:spacing w:val="0"/>
          <w:w w:val="100"/>
          <w:position w:val="0"/>
          <w:sz w:val="14"/>
          <w:szCs w:val="14"/>
          <w:shd w:val="clear" w:color="auto" w:fill="auto"/>
          <w:lang w:val="en-US" w:eastAsia="en-US" w:bidi="en-US"/>
        </w:rPr>
        <w:t>Three Lectures on Wages and on the Effects of Absenteeism, Machinery and War, with a Preface on the Causes and Remedies of the Present Disturbances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(1830, 2nd ed. 1831); </w:t>
      </w:r>
      <w:r>
        <w:rPr>
          <w:rFonts w:ascii="Times New Roman" w:eastAsia="Times New Roman" w:hAnsi="Times New Roman" w:cs="Times New Roman"/>
          <w:color w:val="000000"/>
          <w:spacing w:val="0"/>
          <w:w w:val="100"/>
          <w:position w:val="0"/>
          <w:sz w:val="14"/>
          <w:szCs w:val="14"/>
          <w:shd w:val="clear" w:color="auto" w:fill="auto"/>
          <w:lang w:val="en-US" w:eastAsia="en-US" w:bidi="en-US"/>
        </w:rPr>
        <w:t>A Lecture on the Production of Wealth</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(1847);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Four Introductory Lectures on Political Economy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(1852). Several of his lectures were translated into French by M. Arrivabène under the title of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Principes Fondamentaux </w:t>
      </w:r>
      <w:r>
        <w:rPr>
          <w:rFonts w:ascii="Times New Roman" w:eastAsia="Times New Roman" w:hAnsi="Times New Roman" w:cs="Times New Roman"/>
          <w:color w:val="000000"/>
          <w:spacing w:val="0"/>
          <w:w w:val="100"/>
          <w:position w:val="0"/>
          <w:sz w:val="14"/>
          <w:szCs w:val="14"/>
          <w:shd w:val="clear" w:color="auto" w:fill="auto"/>
          <w:lang w:val="en-US" w:eastAsia="en-US" w:bidi="en-US"/>
        </w:rPr>
        <w:t>d'</w:t>
      </w:r>
      <w:r>
        <w:rPr>
          <w:rFonts w:ascii="Times New Roman" w:eastAsia="Times New Roman" w:hAnsi="Times New Roman" w:cs="Times New Roman"/>
          <w:color w:val="000000"/>
          <w:spacing w:val="0"/>
          <w:w w:val="100"/>
          <w:position w:val="0"/>
          <w:sz w:val="14"/>
          <w:szCs w:val="14"/>
          <w:shd w:val="clear" w:color="auto" w:fill="auto"/>
          <w:lang w:val="fr-FR" w:eastAsia="fr-FR" w:bidi="fr-FR"/>
        </w:rPr>
        <w:t>Économie Politique</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(1835).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Senior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also wrote on administrative and social questions—</w:t>
      </w:r>
      <w:r>
        <w:rPr>
          <w:rFonts w:ascii="Times New Roman" w:eastAsia="Times New Roman" w:hAnsi="Times New Roman" w:cs="Times New Roman"/>
          <w:color w:val="000000"/>
          <w:spacing w:val="0"/>
          <w:w w:val="100"/>
          <w:position w:val="0"/>
          <w:sz w:val="14"/>
          <w:szCs w:val="14"/>
          <w:shd w:val="clear" w:color="auto" w:fill="auto"/>
          <w:lang w:val="en-US" w:eastAsia="en-US" w:bidi="en-US"/>
        </w:rPr>
        <w:t>A Letter to Lord Howick on a Legal Provision for the Irish Poor, Commutation of Tithes and a Provision for the Irish Roman Catholic Clergy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(1831, 3rd ed., 1832, with a preface containing suggestions as to the measures to be adopted in the “ present emergency ”); </w:t>
      </w:r>
      <w:r>
        <w:rPr>
          <w:rFonts w:ascii="Times New Roman" w:eastAsia="Times New Roman" w:hAnsi="Times New Roman" w:cs="Times New Roman"/>
          <w:color w:val="000000"/>
          <w:spacing w:val="0"/>
          <w:w w:val="100"/>
          <w:position w:val="0"/>
          <w:sz w:val="14"/>
          <w:szCs w:val="14"/>
          <w:shd w:val="clear" w:color="auto" w:fill="auto"/>
          <w:lang w:val="en-US" w:eastAsia="en-US" w:bidi="en-US"/>
        </w:rPr>
        <w:t>Statement of the Pro</w:t>
        <w:softHyphen/>
        <w:t xml:space="preserve">vision for the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Poor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of the Condition of the Labouring Classes in a considerable portion of America and Europe, being the Preface to the Foreign Communications in the Appendix to the Poor Law Report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(1835) ; </w:t>
      </w:r>
      <w:r>
        <w:rPr>
          <w:rFonts w:ascii="Times New Roman" w:eastAsia="Times New Roman" w:hAnsi="Times New Roman" w:cs="Times New Roman"/>
          <w:color w:val="000000"/>
          <w:spacing w:val="0"/>
          <w:w w:val="100"/>
          <w:position w:val="0"/>
          <w:sz w:val="14"/>
          <w:szCs w:val="14"/>
          <w:shd w:val="clear" w:color="auto" w:fill="auto"/>
          <w:lang w:val="en-US" w:eastAsia="en-US" w:bidi="en-US"/>
        </w:rPr>
        <w:t>On National Property, and on the Prospects of the Present Administration and of their Successors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(anon.; 1835); </w:t>
      </w:r>
      <w:r>
        <w:rPr>
          <w:rFonts w:ascii="Times New Roman" w:eastAsia="Times New Roman" w:hAnsi="Times New Roman" w:cs="Times New Roman"/>
          <w:color w:val="000000"/>
          <w:spacing w:val="0"/>
          <w:w w:val="100"/>
          <w:position w:val="0"/>
          <w:sz w:val="14"/>
          <w:szCs w:val="14"/>
          <w:shd w:val="clear" w:color="auto" w:fill="auto"/>
          <w:lang w:val="en-US" w:eastAsia="en-US" w:bidi="en-US"/>
        </w:rPr>
        <w:t>Letters on the Factory Act, as it affects the Cotton Manufacture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(1837);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Suggestions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4"/>
          <w:szCs w:val="14"/>
          <w:shd w:val="clear" w:color="auto" w:fill="auto"/>
          <w:lang w:val="en-US" w:eastAsia="en-US" w:bidi="en-US"/>
        </w:rPr>
        <w:t>Popular Education</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(1861); </w:t>
      </w:r>
      <w:r>
        <w:rPr>
          <w:rFonts w:ascii="Times New Roman" w:eastAsia="Times New Roman" w:hAnsi="Times New Roman" w:cs="Times New Roman"/>
          <w:color w:val="000000"/>
          <w:spacing w:val="0"/>
          <w:w w:val="100"/>
          <w:position w:val="0"/>
          <w:sz w:val="14"/>
          <w:szCs w:val="14"/>
          <w:shd w:val="clear" w:color="auto" w:fill="auto"/>
          <w:lang w:val="en-US" w:eastAsia="en-US" w:bidi="en-US"/>
        </w:rPr>
        <w:t>American Slavery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(in part a reprint from the </w:t>
      </w:r>
      <w:r>
        <w:rPr>
          <w:rFonts w:ascii="Times New Roman" w:eastAsia="Times New Roman" w:hAnsi="Times New Roman" w:cs="Times New Roman"/>
          <w:color w:val="000000"/>
          <w:spacing w:val="0"/>
          <w:w w:val="100"/>
          <w:position w:val="0"/>
          <w:sz w:val="14"/>
          <w:szCs w:val="14"/>
          <w:shd w:val="clear" w:color="auto" w:fill="auto"/>
          <w:lang w:val="en-US" w:eastAsia="en-US" w:bidi="en-US"/>
        </w:rPr>
        <w:t>Edinburgh Review,</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1862); </w:t>
      </w:r>
      <w:r>
        <w:rPr>
          <w:rFonts w:ascii="Times New Roman" w:eastAsia="Times New Roman" w:hAnsi="Times New Roman" w:cs="Times New Roman"/>
          <w:color w:val="000000"/>
          <w:spacing w:val="0"/>
          <w:w w:val="100"/>
          <w:position w:val="0"/>
          <w:sz w:val="14"/>
          <w:szCs w:val="14"/>
          <w:shd w:val="clear" w:color="auto" w:fill="auto"/>
          <w:lang w:val="en-US" w:eastAsia="en-US" w:bidi="en-US"/>
        </w:rPr>
        <w:t>An Address cm Education delivered to the Social Science Association</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(1863). His contributions to the reviews were collected in volumes entitled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Essays on Fiction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(1864); </w:t>
      </w:r>
      <w:r>
        <w:rPr>
          <w:rFonts w:ascii="Times New Roman" w:eastAsia="Times New Roman" w:hAnsi="Times New Roman" w:cs="Times New Roman"/>
          <w:color w:val="000000"/>
          <w:spacing w:val="0"/>
          <w:w w:val="100"/>
          <w:position w:val="0"/>
          <w:sz w:val="14"/>
          <w:szCs w:val="14"/>
          <w:shd w:val="clear" w:color="auto" w:fill="auto"/>
          <w:lang w:val="en-US" w:eastAsia="en-US" w:bidi="en-US"/>
        </w:rPr>
        <w:t>Biographical Sketches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(1865, chiefly of noted lawyers);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Historical and Philosophical Essays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(1865). In 1859 appeared his </w:t>
      </w:r>
      <w:r>
        <w:rPr>
          <w:rFonts w:ascii="Times New Roman" w:eastAsia="Times New Roman" w:hAnsi="Times New Roman" w:cs="Times New Roman"/>
          <w:color w:val="000000"/>
          <w:spacing w:val="0"/>
          <w:w w:val="100"/>
          <w:position w:val="0"/>
          <w:sz w:val="14"/>
          <w:szCs w:val="14"/>
          <w:shd w:val="clear" w:color="auto" w:fill="auto"/>
          <w:lang w:val="en-US" w:eastAsia="en-US" w:bidi="en-US"/>
        </w:rPr>
        <w:t>Journal kept in Turkey and Greece in the Autumn of 1857 and the Beginning of 1858</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 and the following were edited after his death by his daughter: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Journals, Conversations and Essays relating to Ireland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(1868); </w:t>
      </w:r>
      <w:r>
        <w:rPr>
          <w:rFonts w:ascii="Times New Roman" w:eastAsia="Times New Roman" w:hAnsi="Times New Roman" w:cs="Times New Roman"/>
          <w:color w:val="000000"/>
          <w:spacing w:val="0"/>
          <w:w w:val="100"/>
          <w:position w:val="0"/>
          <w:sz w:val="14"/>
          <w:szCs w:val="14"/>
          <w:shd w:val="clear" w:color="auto" w:fill="auto"/>
          <w:lang w:val="en-US" w:eastAsia="en-US" w:bidi="en-US"/>
        </w:rPr>
        <w:t>Journals kept in France and Italy from 1848 to 1852, with a Sketch of the Revolution of 1848</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(1871) ;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Conversations with Thiers, Guizot and other Distinguished Persons during the Second Empire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(1878); </w:t>
      </w:r>
      <w:r>
        <w:rPr>
          <w:rFonts w:ascii="Times New Roman" w:eastAsia="Times New Roman" w:hAnsi="Times New Roman" w:cs="Times New Roman"/>
          <w:color w:val="000000"/>
          <w:spacing w:val="0"/>
          <w:w w:val="100"/>
          <w:position w:val="0"/>
          <w:sz w:val="14"/>
          <w:szCs w:val="14"/>
          <w:shd w:val="clear" w:color="auto" w:fill="auto"/>
          <w:lang w:val="en-US" w:eastAsia="en-US" w:bidi="en-US"/>
        </w:rPr>
        <w:t>Conversations with Distinguished Persons during the Second Empire, from i860 to 1863</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(1880); </w:t>
      </w:r>
      <w:r>
        <w:rPr>
          <w:rFonts w:ascii="Times New Roman" w:eastAsia="Times New Roman" w:hAnsi="Times New Roman" w:cs="Times New Roman"/>
          <w:color w:val="000000"/>
          <w:spacing w:val="0"/>
          <w:w w:val="100"/>
          <w:position w:val="0"/>
          <w:sz w:val="14"/>
          <w:szCs w:val="14"/>
          <w:shd w:val="clear" w:color="auto" w:fill="auto"/>
          <w:lang w:val="en-US" w:eastAsia="en-US" w:bidi="en-US"/>
        </w:rPr>
        <w:t>Conversations and Journals in Egypt and Malta</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(1882); also in 1872 </w:t>
      </w:r>
      <w:r>
        <w:rPr>
          <w:rFonts w:ascii="Times New Roman" w:eastAsia="Times New Roman" w:hAnsi="Times New Roman" w:cs="Times New Roman"/>
          <w:color w:val="000000"/>
          <w:spacing w:val="0"/>
          <w:w w:val="100"/>
          <w:position w:val="0"/>
          <w:sz w:val="14"/>
          <w:szCs w:val="14"/>
          <w:shd w:val="clear" w:color="auto" w:fill="auto"/>
          <w:lang w:val="en-US" w:eastAsia="en-US" w:bidi="en-US"/>
        </w:rPr>
        <w:t>Correspondence and Conver</w:t>
        <w:softHyphen/>
        <w:t xml:space="preserve">sations with Alexis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de Tocqueville </w:t>
      </w:r>
      <w:r>
        <w:rPr>
          <w:rFonts w:ascii="Times New Roman" w:eastAsia="Times New Roman" w:hAnsi="Times New Roman" w:cs="Times New Roman"/>
          <w:color w:val="000000"/>
          <w:spacing w:val="0"/>
          <w:w w:val="100"/>
          <w:position w:val="0"/>
          <w:sz w:val="14"/>
          <w:szCs w:val="14"/>
          <w:shd w:val="clear" w:color="auto" w:fill="auto"/>
          <w:lang w:val="en-US" w:eastAsia="en-US" w:bidi="en-US"/>
        </w:rPr>
        <w:t>from 1834 to 1859</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Senior’s literary criticisms do not seem to have ever won the favour of the public; they are, indeed, somewhat formal and academic in spirit. The author, while he had both good sense and right feeling, appears to have wanted the deeper insight: the geniality and the catholic tastes which are necessary to make a critic of a high order, especially in the field he chose—that, namely, of imaginative litera- ture. His tracts on practical politics, though the theses they sup</w:t>
        <w:softHyphen/>
        <w:t>ported were sometimes questionable, were ably written and are still worth reading, but cannot be said to be of much permanent interest. But his name continues to hold an honourable, though secondary,</w:t>
      </w:r>
    </w:p>
    <w:p>
      <w:pPr>
        <w:pStyle w:val="Style12"/>
        <w:keepNext w:val="0"/>
        <w:keepLines w:val="0"/>
        <w:widowControl w:val="0"/>
        <w:shd w:val="clear" w:color="auto" w:fill="auto"/>
        <w:tabs>
          <w:tab w:pos="421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place in the history of political economy. Senior regards political economy as a purely deductive science, all the truths of which are inferences from four elementary propositions. It is, in his opinion, wrongly supposed by J. S. Mill and others to be a hypothetic science —founded, that is to say, on postulates not corresponding with social realities. The premises from which it sets out are, according to him, not assumptions but facts. It concerns itself, however, with wealth only, and can therefore give no practical counsel as to political action : it can only suggest considerations which the politician should keep in view as elements in the study of the questions with which he has to deal. The conception of economics as altogether deductive is certainly erroneous, and puts the science from the outset on a false path. But deduction has a real, though limited, sphere within it. Hence, though the chief difficulties of the subject are not of a logical kind, yet accurate nomenclature, strict definition and rigorous reasoning are of great importance. To these Senior gave special attention, and, notwithstanding occasional pedantries, with very useful results. In several instances he improved the forms in which accepted doctrines were habitually stated. He also did excellent service by pointing out the arbitrary novelties and frequent inconsistencies of terminology which deface Ricardo’s principal work—as, for example, his use of “ value ” in the sense of  “cost of production,” and of  “high ” and “ low ” wages in the sense of a certain proportion of the product as distinguished from an absolute amount, and his peculiar employment of the epithets “ fixed ” and “ circulating ” as applied to capital. He shows, too, that in numerous instances the premises assumed by Ricardo are false. Thus he cites the assertions that rent depends on the difference of fertility of the different portions of land in cultivation; that the labourer always receives precisely the necessaries, or what custom leads him to consider the necessaries, of life ; that, as wealth and population advance, agricultural labour becomes less and less proportionately productive; and that therefore the share of the produce taken by the landlord and the labourer must constantly increase, whilst that taken by the capitalist must constantly diminish ; and he denies the truth of all these propositions. Besides adopting some terms, such as that of “ natural agents,” from Say, Senior introduced the word “ abstinence ”—which, though obviously not free from objection, is for some purposes useful—to express the conduct of the capitalist which is remunerated by interest ; but in defining “ cost of production ” as the sum of labour and abstinence necessary to production he does not seem to see that an amount of labour and an amount of abstinence are disparate, and do not admit of reduction to a common quantitative standard. He added some important considerations to what had been said by Smith on the division of labour. He distinguishes usefully between the rate of wages and the price of labour. But in seeking to determine the law of wages he falls into the error of assuming a determinate wage-fund, and states as an economic truth what is only an identical proposition in arithmetic. Whilst entertaining such an exaggerated estimate of the services of Malthus that he extravagantly pronounces him “ as a benefactor of mankind on a level with Adam Smith,” he yet shows that he modified his opinions on population considerably in the course of his career, regards his statements of the doctrine with which his name is associated as vague and ambiguous, and asserts that, “ in the absence of disturbing causes, subsistence may be expected to increase in a greater ratio than population.” It is urged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X. C. Périn, and must, we think, be admitted, that by his isolation of economics from morals, and his assumption of the desire of wealth as the sole motive-force in the economic domain, Senior, in common with most of the other followers of Smith, tended to set up egoism as the legitimate ruler and guide of practical life. It is no sufficient answer to this charge that he makes formal reserve in favour of higher ends. From the scientific side Cliffe Leslie has abundantly proved the unsubstantial nature of the abstraction implied in the phrase “ desire of wealth,” and the inadequacy of such a principle for the explanation of economic pheno- mena.</w:t>
        <w:tab/>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SENLIS, a town of northern France, in the department of Oise, on the right side of the </w:t>
      </w:r>
      <w:r>
        <w:rPr>
          <w:rFonts w:ascii="Times New Roman" w:eastAsia="Times New Roman" w:hAnsi="Times New Roman" w:cs="Times New Roman"/>
          <w:color w:val="000000"/>
          <w:spacing w:val="0"/>
          <w:w w:val="100"/>
          <w:position w:val="0"/>
          <w:shd w:val="clear" w:color="auto" w:fill="auto"/>
          <w:lang w:val="de-DE" w:eastAsia="de-DE" w:bidi="de-DE"/>
        </w:rPr>
        <w:t xml:space="preserve">Nonette, </w:t>
      </w:r>
      <w:r>
        <w:rPr>
          <w:rFonts w:ascii="Times New Roman" w:eastAsia="Times New Roman" w:hAnsi="Times New Roman" w:cs="Times New Roman"/>
          <w:color w:val="000000"/>
          <w:spacing w:val="0"/>
          <w:w w:val="100"/>
          <w:position w:val="0"/>
          <w:shd w:val="clear" w:color="auto" w:fill="auto"/>
          <w:lang w:val="en-US" w:eastAsia="en-US" w:bidi="en-US"/>
        </w:rPr>
        <w:t xml:space="preserve">a left-hand affluent of the Oise, 34 m. N.N.E. of Paris by the Northern railway on the branch line (Chantilly-Crépy) connecting the Paris-Creil and Paris-Soissons lines. Pop. (1906) 6074. Its antiquity, its historical monuments and its situation in a beautiful valley, in the midst of the three great forests of Hallatte, Chantilly and </w:t>
      </w:r>
      <w:r>
        <w:rPr>
          <w:rFonts w:ascii="Times New Roman" w:eastAsia="Times New Roman" w:hAnsi="Times New Roman" w:cs="Times New Roman"/>
          <w:color w:val="000000"/>
          <w:spacing w:val="0"/>
          <w:w w:val="100"/>
          <w:position w:val="0"/>
          <w:shd w:val="clear" w:color="auto" w:fill="auto"/>
          <w:lang w:val="fr-FR" w:eastAsia="fr-FR" w:bidi="fr-FR"/>
        </w:rPr>
        <w:t xml:space="preserve">Ermenonville, </w:t>
      </w:r>
      <w:r>
        <w:rPr>
          <w:rFonts w:ascii="Times New Roman" w:eastAsia="Times New Roman" w:hAnsi="Times New Roman" w:cs="Times New Roman"/>
          <w:color w:val="000000"/>
          <w:spacing w:val="0"/>
          <w:w w:val="100"/>
          <w:position w:val="0"/>
          <w:shd w:val="clear" w:color="auto" w:fill="auto"/>
          <w:lang w:val="en-US" w:eastAsia="en-US" w:bidi="en-US"/>
        </w:rPr>
        <w:t xml:space="preserve">render it interesting. Its Gallo-Roman walls, 23 ft. high and 13 ft. thick, are, with those of St Lizier (Ariège) and Bourges, the most perfect in France. They enclose an oval area 1024 ft. long from E. to W. and 794 ft. wide from N. to S. At each of the angles formed by the broken lines of which the circuit of 2756 ft. is composed stands or stood a tower; numbering originally twenty-eight, and now only sixteen, they are semicircular in plan, and up to the height of the wall are unpierced. The Roman city had only two gates; the present number is five. The site of the </w:t>
      </w:r>
      <w:r>
        <w:rPr>
          <w:rFonts w:ascii="Times New Roman" w:eastAsia="Times New Roman" w:hAnsi="Times New Roman" w:cs="Times New Roman"/>
          <w:color w:val="000000"/>
          <w:spacing w:val="0"/>
          <w:w w:val="100"/>
          <w:position w:val="0"/>
          <w:shd w:val="clear" w:color="auto" w:fill="auto"/>
          <w:lang w:val="de-DE" w:eastAsia="de-DE" w:bidi="de-DE"/>
        </w:rPr>
        <w:t xml:space="preserve">praetorium </w:t>
      </w:r>
      <w:r>
        <w:rPr>
          <w:rFonts w:ascii="Times New Roman" w:eastAsia="Times New Roman" w:hAnsi="Times New Roman" w:cs="Times New Roman"/>
          <w:color w:val="000000"/>
          <w:spacing w:val="0"/>
          <w:w w:val="100"/>
          <w:position w:val="0"/>
          <w:shd w:val="clear" w:color="auto" w:fill="auto"/>
          <w:lang w:val="en-US" w:eastAsia="en-US" w:bidi="en-US"/>
        </w:rPr>
        <w:t>was afterwards occupied by a castle occasionally inhabited by the kings of</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iCs/>
      <w:smallCaps w:val="0"/>
      <w:strike w:val="0"/>
      <w:sz w:val="14"/>
      <w:szCs w:val="14"/>
      <w:u w:val="none"/>
    </w:rPr>
  </w:style>
  <w:style w:type="character" w:customStyle="1" w:styleId="CharStyle13">
    <w:name w:val="Body text (4)_"/>
    <w:basedOn w:val="DefaultParagraphFont"/>
    <w:link w:val="Style12"/>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2">
    <w:name w:val="Body text (4)"/>
    <w:basedOn w:val="Normal"/>
    <w:link w:val="CharStyle13"/>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