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related by Fordun and Boece, but with inconsistencies that have rendered it suspect. An elder son, Alexander, had perished in 1332 in opposing the landing of Edward Baliol; according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some authorities the third son, William, was hanged with his brother, but he is generally said to have been drowned during the siege; his daughter Margaret married Alan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Wintoun. The tragic death of young Thomas Seton was the subject of a ballad of “ Seton’s Sons,” printed in Sheldon’s </w:t>
      </w:r>
      <w:r>
        <w:rPr>
          <w:rFonts w:ascii="Times New Roman" w:eastAsia="Times New Roman" w:hAnsi="Times New Roman" w:cs="Times New Roman"/>
          <w:i/>
          <w:iCs/>
          <w:color w:val="000000"/>
          <w:spacing w:val="0"/>
          <w:w w:val="100"/>
          <w:position w:val="0"/>
          <w:shd w:val="clear" w:color="auto" w:fill="auto"/>
          <w:lang w:val="en-US" w:eastAsia="en-US" w:bidi="en-US"/>
        </w:rPr>
        <w:t>Minstrelsy of the Scottish Border;</w:t>
      </w:r>
      <w:r>
        <w:rPr>
          <w:rFonts w:ascii="Times New Roman" w:eastAsia="Times New Roman" w:hAnsi="Times New Roman" w:cs="Times New Roman"/>
          <w:color w:val="000000"/>
          <w:spacing w:val="0"/>
          <w:w w:val="100"/>
          <w:position w:val="0"/>
          <w:shd w:val="clear" w:color="auto" w:fill="auto"/>
          <w:lang w:val="en-US" w:eastAsia="en-US" w:bidi="en-US"/>
        </w:rPr>
        <w:t xml:space="preserve"> of a tragedy, </w:t>
      </w:r>
      <w:r>
        <w:rPr>
          <w:rFonts w:ascii="Times New Roman" w:eastAsia="Times New Roman" w:hAnsi="Times New Roman" w:cs="Times New Roman"/>
          <w:i/>
          <w:iCs/>
          <w:color w:val="000000"/>
          <w:spacing w:val="0"/>
          <w:w w:val="100"/>
          <w:position w:val="0"/>
          <w:shd w:val="clear" w:color="auto" w:fill="auto"/>
          <w:lang w:val="en-US" w:eastAsia="en-US" w:bidi="en-US"/>
        </w:rPr>
        <w:t>The Siege of Berwick</w:t>
      </w:r>
      <w:r>
        <w:rPr>
          <w:rFonts w:ascii="Times New Roman" w:eastAsia="Times New Roman" w:hAnsi="Times New Roman" w:cs="Times New Roman"/>
          <w:color w:val="000000"/>
          <w:spacing w:val="0"/>
          <w:w w:val="100"/>
          <w:position w:val="0"/>
          <w:shd w:val="clear" w:color="auto" w:fill="auto"/>
          <w:lang w:val="en-US" w:eastAsia="en-US" w:bidi="en-US"/>
        </w:rPr>
        <w:t xml:space="preserve"> (1794, printed 1882) by Edward Jerningham, and of another by James Miller (1824).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Sir William Seton</w:t>
      </w:r>
      <w:r>
        <w:rPr>
          <w:rFonts w:ascii="Times New Roman" w:eastAsia="Times New Roman" w:hAnsi="Times New Roman" w:cs="Times New Roman"/>
          <w:color w:val="000000"/>
          <w:spacing w:val="0"/>
          <w:w w:val="100"/>
          <w:position w:val="0"/>
          <w:shd w:val="clear" w:color="auto" w:fill="auto"/>
          <w:lang w:val="en-US" w:eastAsia="en-US" w:bidi="en-US"/>
        </w:rPr>
        <w:t xml:space="preserve"> of Seton </w:t>
      </w:r>
      <w:r>
        <w:rPr>
          <w:rFonts w:ascii="Times New Roman" w:eastAsia="Times New Roman" w:hAnsi="Times New Roman" w:cs="Times New Roman"/>
          <w:color w:val="000000"/>
          <w:spacing w:val="0"/>
          <w:w w:val="100"/>
          <w:position w:val="0"/>
          <w:shd w:val="clear" w:color="auto" w:fill="auto"/>
          <w:lang w:val="fr-FR" w:eastAsia="fr-FR" w:bidi="fr-FR"/>
        </w:rPr>
        <w:t xml:space="preserve">(fl. </w:t>
      </w:r>
      <w:r>
        <w:rPr>
          <w:rFonts w:ascii="Times New Roman" w:eastAsia="Times New Roman" w:hAnsi="Times New Roman" w:cs="Times New Roman"/>
          <w:color w:val="000000"/>
          <w:spacing w:val="0"/>
          <w:w w:val="100"/>
          <w:position w:val="0"/>
          <w:shd w:val="clear" w:color="auto" w:fill="auto"/>
          <w:lang w:val="en-US" w:eastAsia="en-US" w:bidi="en-US"/>
        </w:rPr>
        <w:t>1371-1393) is said to have been ennobled with the title of Lord Seton, and his heirs laid claim that the barony of Seton was the oldest in Scotland. By his wife Catherine Sinclair he had eight children. John suc</w:t>
        <w:softHyphen/>
        <w:t xml:space="preserve">ceeded him; Alexander married Elizabeth, daughter and heiress of Sir Adam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Gordon, by whom he became the ancestor of the Gordons of Huntly.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Sir John</w:t>
      </w:r>
      <w:r>
        <w:rPr>
          <w:rFonts w:ascii="Times New Roman" w:eastAsia="Times New Roman" w:hAnsi="Times New Roman" w:cs="Times New Roman"/>
          <w:color w:val="000000"/>
          <w:spacing w:val="0"/>
          <w:w w:val="100"/>
          <w:position w:val="0"/>
          <w:shd w:val="clear" w:color="auto" w:fill="auto"/>
          <w:lang w:val="en-US" w:eastAsia="en-US" w:bidi="en-US"/>
        </w:rPr>
        <w:t xml:space="preserve"> of Seton (d. c. 1441) was taken prisoner at Homildon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Hill </w:t>
      </w:r>
      <w:r>
        <w:rPr>
          <w:rFonts w:ascii="Times New Roman" w:eastAsia="Times New Roman" w:hAnsi="Times New Roman" w:cs="Times New Roman"/>
          <w:color w:val="000000"/>
          <w:spacing w:val="0"/>
          <w:w w:val="100"/>
          <w:position w:val="0"/>
          <w:shd w:val="clear" w:color="auto" w:fill="auto"/>
          <w:lang w:val="en-US" w:eastAsia="en-US" w:bidi="en-US"/>
        </w:rPr>
        <w:t xml:space="preserve">in 1402. He was hostage in England for the earl of Douglas in 1405, and again in 1423 for James I. He married Lady Janet Dunbar, daughter of the roth earl of March. His son Sir William was killed at Verneuil, fighting on the French side, leaving as heir </w:t>
      </w: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(d. 1478),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Lord Seton, who was created a lord of parliament in 1448 as Lord Seton. By his first marriage with Margaret, daughter of John Stewart, earl of Buchan, he had a son John, who died during his father's lifetime. He was suc- ceeded by his grandson </w:t>
      </w: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2nd Lord Seton (d. 1508), who was a scholar of St Andrews and Paris, and in common report a necromancer. He was captured by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Flemings, and on his release fitted out and maintained a ship for the purpose of harassing Flemish travellers. His son </w:t>
      </w: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3rd Lord Seton, was killed at Flodden in 1513. He redeemed estates which his father had sacrificed to support his enterprises against the Fle</w:t>
      </w:r>
      <w:r>
        <w:rPr>
          <w:rFonts w:ascii="Times New Roman" w:eastAsia="Times New Roman" w:hAnsi="Times New Roman" w:cs="Times New Roman"/>
          <w:color w:val="000000"/>
          <w:spacing w:val="0"/>
          <w:w w:val="100"/>
          <w:position w:val="0"/>
          <w:u w:val="single"/>
          <w:shd w:val="clear" w:color="auto" w:fill="auto"/>
          <w:lang w:val="en-US" w:eastAsia="en-US" w:bidi="en-US"/>
        </w:rPr>
        <w:t>min</w:t>
      </w:r>
      <w:r>
        <w:rPr>
          <w:rFonts w:ascii="Times New Roman" w:eastAsia="Times New Roman" w:hAnsi="Times New Roman" w:cs="Times New Roman"/>
          <w:color w:val="000000"/>
          <w:spacing w:val="0"/>
          <w:w w:val="100"/>
          <w:position w:val="0"/>
          <w:shd w:val="clear" w:color="auto" w:fill="auto"/>
          <w:lang w:val="en-US" w:eastAsia="en-US" w:bidi="en-US"/>
        </w:rPr>
        <w:t>gs. By his marriage with Janet, daughter of Patrick Dunbar,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earl of Bothwell, he left a son </w:t>
      </w: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4th Lord Seton (d. 1549), who allowed Cardinal Beaton to escape from custody in 1543, and received considerable grants of land in the sequel. The castle and church of Seton were burnt by Hertford in revenge for the part he had taken against the English in 1544.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5th Lord Seton </w:t>
      </w:r>
      <w:r>
        <w:rPr>
          <w:rFonts w:ascii="Times New Roman" w:eastAsia="Times New Roman" w:hAnsi="Times New Roman" w:cs="Times New Roman"/>
          <w:smallCaps/>
          <w:color w:val="000000"/>
          <w:spacing w:val="0"/>
          <w:w w:val="100"/>
          <w:position w:val="0"/>
          <w:shd w:val="clear" w:color="auto" w:fill="auto"/>
          <w:lang w:val="en-US" w:eastAsia="en-US" w:bidi="en-US"/>
        </w:rPr>
        <w:t>(1530-1585),</w:t>
      </w:r>
      <w:r>
        <w:rPr>
          <w:rFonts w:ascii="Times New Roman" w:eastAsia="Times New Roman" w:hAnsi="Times New Roman" w:cs="Times New Roman"/>
          <w:color w:val="000000"/>
          <w:spacing w:val="0"/>
          <w:w w:val="100"/>
          <w:position w:val="0"/>
          <w:shd w:val="clear" w:color="auto" w:fill="auto"/>
          <w:lang w:val="en-US" w:eastAsia="en-US" w:bidi="en-US"/>
        </w:rPr>
        <w:t xml:space="preserve"> was a firm friend of Mary, queen of Scots. He was present at her marriage with the dauphin in 1557, and three years later he was again in France because of his adherence to the old religion. When Mary re</w:t>
        <w:softHyphen/>
        <w:t xml:space="preserve">turned to Scotland he became privy councillor and master of the household, but four years later he again found it advisable to retire to France. Mary and Darnley spent their honeymoon at Seton Palace, and Mary found a retreat there after the murder of Rizzio and again after the murder of Darnley. She spent the night before Carberry Hill under Seton’s roof, and he was waiting for her on her escape from Lochleven in May 1568. He took her to his castle at Niddrie, Linlithgowshire, and thence to Hamilton. A week later he was taken prisoner at Langside. He was set free after the assassination of the regent Moray, and made his way to Flanders, where he was said to have made his living as a wagoner. He was, in fact, entrusted by Mary’s supporters with a mission to the duke of Alva, and sought in vain to secure for service in Scotland two regiments of Scots then in Spanish pay. He returned home in 1571, being apparently reconciled with the government, but he retained his Catholicism and his friendship for Mary, who wrote to Elizabeth in 1581 desiring a passport for Lord Seton that he might alleviate her solitude. In 1581 he was one of Morton’s judges, and in 1583 he was sent as ambassador to France, where he sought interference on Queen Mary’s behalf. He died soon after his return on the 8th of January 1585. The 5th Lord Seton figures in Sir Walter Scott’s </w:t>
      </w:r>
      <w:r>
        <w:rPr>
          <w:rFonts w:ascii="Times New Roman" w:eastAsia="Times New Roman" w:hAnsi="Times New Roman" w:cs="Times New Roman"/>
          <w:i/>
          <w:iCs/>
          <w:color w:val="000000"/>
          <w:spacing w:val="0"/>
          <w:w w:val="100"/>
          <w:position w:val="0"/>
          <w:shd w:val="clear" w:color="auto" w:fill="auto"/>
          <w:lang w:val="en-US" w:eastAsia="en-US" w:bidi="en-US"/>
        </w:rPr>
        <w:t>Abbot,</w:t>
      </w:r>
      <w:r>
        <w:rPr>
          <w:rFonts w:ascii="Times New Roman" w:eastAsia="Times New Roman" w:hAnsi="Times New Roman" w:cs="Times New Roman"/>
          <w:color w:val="000000"/>
          <w:spacing w:val="0"/>
          <w:w w:val="100"/>
          <w:position w:val="0"/>
          <w:shd w:val="clear" w:color="auto" w:fill="auto"/>
          <w:lang w:val="en-US" w:eastAsia="en-US" w:bidi="en-US"/>
        </w:rPr>
        <w:t xml:space="preserve"> He was succeeded by his second and eldest surviving son, Robert, who became 6th Lord Seton and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earl of Wintoun. His third son, Sir John Seton of Barns, was a gentleman of the bedchamber to Philip II. of Spain. He was recalled to Scotland by James VI., and served as lord of session from 1587 to 1594.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Mary Seton,</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 Four Maries ” attendant on the queen, is supposed to have been the 5th Lord Seton’s half-sister, being the daughter of the 4th lord by his second wife, a French- woman named Mary Pieris, maid of honour to Mary of Guise. She had been educated with Queen Mary in France, being about a year older than her mistress, with whom she returned to Scotland in 1561. She helped Mary to escape from Lochleven by assuming her clothes. Later on she joined her at Carlisle, and remained with her in her various prisons until 1583, when prison life had undermined her health and spirits. She retired to the abbey of St Pierre at Reims, and she was still living there, an old lady of seventy-four, in poverty in 1614.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Robert Seton</w:t>
      </w:r>
      <w:r>
        <w:rPr>
          <w:rFonts w:ascii="Times New Roman" w:eastAsia="Times New Roman" w:hAnsi="Times New Roman" w:cs="Times New Roman"/>
          <w:color w:val="000000"/>
          <w:spacing w:val="0"/>
          <w:w w:val="100"/>
          <w:position w:val="0"/>
          <w:shd w:val="clear" w:color="auto" w:fill="auto"/>
          <w:lang w:val="en-US" w:eastAsia="en-US" w:bidi="en-US"/>
        </w:rPr>
        <w:t xml:space="preserve"> (d. 1603) succeeded his father as 6th lord in 1585, and was created earl of Wintoun in 1600. He married, about 1582, Margaret, eldest daughter of Hugh Montgomerie, 3rd earl of Eglinton. His sons Robert and George were successively carls of Wintoun; the third, Alexander, became, in right of his mother, 6th earl of Eglinton; the fourth, Thomas, was the ancestor of the Setons of Oliveston.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4th earl of Wintoun (1640-1704), succeeded his grandfather, George Seton, 3rd earl, in 1650. He saw some service in the French army, and fought against the Covenanters at Pentland and at Bothwell Bridge. By his second marriage, with Christian Hepburn, he had a son George, who quarrelled with his father and is said to have been working as a journeyman blacksmith abroad when he succeeded to the title in 1704. In 1715 the 5th earl joined Kenmure with 300 men at Moffat, but it was against his advice that the Jacobite army invaded England. He was lying in the Tower under sentence of death when he succeeded in making his escape, and proceeding to the continent, he became well known in Rome, where he was grand master of the Roman lodge of freemasons. He died there in 1749. With him the earldom became extinct, but it was revived in 1840 in favour of the earls of Eglinton.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Some of the cadet branches of the family remain to be noticed. The Setons of Parbroath in Fife, represented by American descendants, are descended from Sir George Seton (fl. 1589-1595). The Setons of Touch, near Stirling, descended from Alexander Seton,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earl of Huntly. They were hereditary armour-bearers and squires of the body to the king, dignities which passed, in the female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the Seton-Stewarts in 1786. From the Setons of Touch were descended the Setons of Culbeg or Abercorn. The Setons of Preston (Linlithgow) and Ekolsund (Sweden) have been connected with the Swedish army since the 18th century when George Seton, a merchant, settled in Stockholm. The Setons of Meldrum descended from William Seton, brother of the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earl of Huntly. The Pitmedden branch was an offshoot from Meldrum ; the baronetcy was created (1686) for the judge Sir Alexander Seton, Lord Pitmedden (c. 1639-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1719).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Setons of Mounie again were a branch of the Pit- medden family; one of their house, Lieut.-Colonel Alexander Seton, 74th Highlanders, was in charge of the troops on the ill-fated “ Birkenhead ” in 1852. The Setons of Cariston, descended from John, second son of the 6th Lord Seton, obtained the barony of Cariston in 1553. Other branches are Seton-Gordon of Embo, with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baronetcy created in 1631, and Seton of Garleton, with a baronetcy created in 1664. The viscounty of Kingston was created for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Alexander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Seton (d. 1691), third son of the 3rd earl of Wintoun, and became extinct on the attainder of James, 3rd viscount, in 1715.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Huntly, Earls and Marquesses of.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—Sir Richard Maitland,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the House of Seton,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continued by A. Seton,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Viscount Kingston (mod. ed., Glasgow 1829, and Edinburgh 1830); G. Seton,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History of the House of Seton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vols., 1896) ; Sir R. Douglas,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Scots Peerage,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ed. by Sir J. B. Paul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Calendar of Documents relating to Scotland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 Rolls ” series;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C (okayne),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Complete Peerage.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SETTEE, a long upholstered scat, usually high-backed and with arms at each end. Its ancestors were the settle and the chair—it has alternately resembled the one and the other. It is broadly distinguished from the many varieties of sofa by being intended for sitting rather than reclining—its seat is of the same height as that of a chair; its arms and much of its detail are chair-like. It dates from about the middle of the 17th century, but examples of that early period are exceedingly rare. There is a famous one at Knole, made about midway between the restoration of Charles II. and the revolution of 1688. By that time the settee had acquired the splendid upholstery and convoluted woodwork which adorned the end of the Stuart period. Early in the 18th century the conjoined double or triple chair form</w:t>
      </w:r>
    </w:p>
    <w:sectPr>
      <w:footnotePr>
        <w:pos w:val="pageBottom"/>
        <w:numFmt w:val="decimal"/>
        <w:numRestart w:val="continuous"/>
      </w:footnotePr>
      <w:pgSz w:w="12240" w:h="15840"/>
      <w:pgMar w:top="864" w:left="870" w:right="1050"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