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offshoot of Gnosticism had no single feature about it which could soften the hostility of a character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euch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Martin’s, but he resisted the introduction of secular punishment for evil doctrine, and with</w:t>
        <w:softHyphen/>
        <w:t xml:space="preserve">drew from communion with those bishops in Gaul, a large majority, who invoked the aid of Maximus against their erring brethren. In this connexion it is interesting to note the account given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synod held at Rimini in 359, where the question arose whether the bishops attending the assembly might lawfully receive money from the imperial treasury to recoup their travelling and other ex- penses.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evidently approves the action of the British and Gaulish bishops, who deemed it unbecoming that they should lie under pecuniary obligation to the emperor. His ideal of the church required that it should stand clear and above the state.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chief work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Life of Martin,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contribution to popular Christian literature which did much to establish the great reputation which that wonder-working saint maintained throughout the middle ages. The book is not properly a biography, but a catalogue of miracles, told in all the simplicity of absolute belief. The power to work miraculous signs is assumed to be in direct proportion to holiness, and is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valued merely as an evidence of holiness, which he is persuaded can only be attained through a life of isoIatïon from the world. In the first of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Dialogues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(fair models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Cicero), 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puts into the mouth of an interlocutor (Posthuraianus) a pleasing description of the life of coenobites and solitaries in the deserts bordering on Egypt. The main evidence of the virtue attained by them lies in the voluntary subjection to them of the savage beasts among which they lived. But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no indiscriminating adherent of monasticism. The same dialogue shows him to be alive to its dangers and defects. The second dialogue is a large appendix to the Life of Martin, and really supplies more in- formation of his life as bishop and of his views than the work which bears the title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Vita S. Martini.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two dialogues occasionally make interesting references to personages of the epoch. In Dial. 1, cc. 6, 7, we have a vivid picture of the controversies which raged at Alexandria over the works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Origen.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judgment of Severus himself is no doubt that which he puts in the mouth of his interlocutor Posthumianus : “ I am astonished that one and the same man could have so far differed from himself that in the approved portion of his works he has no equal since the apostles, while in that portion for which he is justly blamed it is proved that no man has committed more unseemly errors.” Three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Epistles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death of Martin (ad Eusebium, ad Aurelium diaconum, ad Bassulam) complete the list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genuine works. Other letters (to his sister), on the love of God and the renunciation of the world, have not survived.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text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rests on a single 11th century MS., one of the Palatine collection now in the Vatican; of the other works MSS. are abundant, the best being one of the 6th century at Verona. Some spurious letters bear the name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also in a MS. at Madrid is a work falsely professing to be an epitome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going down to 311. The chief editions of the complete works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those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Prato (Verona, 1741) and by Halm (forming vol. i.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Corpus scriptorum ecclesiasticorum Latinorum,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Vienna, 1866). There is a most admirable monograph on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J. Bernays (Berlin, 1861). See also Goelzer,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Grammaticae in Snip. Severum observationes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(1884) (thesis).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SEVERY (probably connected with the English word “ sever ”), in architecture, any main compartment or division of a building. The word has been supposed to be a corruption of </w:t>
      </w:r>
      <w:r>
        <w:rPr>
          <w:rFonts w:ascii="Times New Roman" w:eastAsia="Times New Roman" w:hAnsi="Times New Roman" w:cs="Times New Roman"/>
          <w:color w:val="000000"/>
          <w:spacing w:val="0"/>
          <w:w w:val="100"/>
          <w:position w:val="0"/>
          <w:shd w:val="clear" w:color="auto" w:fill="auto"/>
          <w:lang w:val="fr-FR" w:eastAsia="fr-FR" w:bidi="fr-FR"/>
        </w:rPr>
        <w:t xml:space="preserve">Ciborium, </w:t>
      </w:r>
      <w:r>
        <w:rPr>
          <w:rFonts w:ascii="Times New Roman" w:eastAsia="Times New Roman" w:hAnsi="Times New Roman" w:cs="Times New Roman"/>
          <w:color w:val="000000"/>
          <w:spacing w:val="0"/>
          <w:w w:val="100"/>
          <w:position w:val="0"/>
          <w:shd w:val="clear" w:color="auto" w:fill="auto"/>
          <w:lang w:val="en-US" w:eastAsia="en-US" w:bidi="en-US"/>
        </w:rPr>
        <w:t xml:space="preserve">as Gervase of Canterbury uses the word in this sense; but he probably alludes to the </w:t>
      </w:r>
      <w:r>
        <w:rPr>
          <w:rFonts w:ascii="Times New Roman" w:eastAsia="Times New Roman" w:hAnsi="Times New Roman" w:cs="Times New Roman"/>
          <w:i/>
          <w:iCs/>
          <w:color w:val="000000"/>
          <w:spacing w:val="0"/>
          <w:w w:val="100"/>
          <w:position w:val="0"/>
          <w:shd w:val="clear" w:color="auto" w:fill="auto"/>
          <w:lang w:val="en-US" w:eastAsia="en-US" w:bidi="en-US"/>
        </w:rPr>
        <w:t>vaulted</w:t>
      </w:r>
      <w:r>
        <w:rPr>
          <w:rFonts w:ascii="Times New Roman" w:eastAsia="Times New Roman" w:hAnsi="Times New Roman" w:cs="Times New Roman"/>
          <w:color w:val="000000"/>
          <w:spacing w:val="0"/>
          <w:w w:val="100"/>
          <w:position w:val="0"/>
          <w:shd w:val="clear" w:color="auto" w:fill="auto"/>
          <w:lang w:val="en-US" w:eastAsia="en-US" w:bidi="en-US"/>
        </w:rPr>
        <w:t xml:space="preserve"> form of the upper part of the web of each severy.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SEVIER, JOHN (1745-1815), American frontiersman, first governor of Tennessee, was born in Rockingham county, Virginia, on the 23rd of September 1745, of Huguenot ancestry, the family name being Xavier. He settled on the Watauga on the western slope of the Alleghanies in 1772, and served as a captain in Lord Dunmore’s War in 1774. Early in 1776 the Watauga settlements were annexed to North Carolina, and Sevier, who from the beginning had been a member of the Watauga govern- ment, now represented the district in the provincial congress, which met at Halifax in November-December 1776 and adopted the first state constitution, and in 1777 he was a member of the state House of Commons. He took part in the campaign of 1780 against the British, especially distinguishing himself in the battle of King’s Mountain, where he led the right wing. In December 1780 he defeated the Cherokees at Boyd’s Creek (in the present Sevier county, Tennessee), laying waste their country during the following spring. Later in the same year (1781), under General Francis Marion, he fought the British in the </w:t>
      </w:r>
      <w:r>
        <w:rPr>
          <w:rFonts w:ascii="Times New Roman" w:eastAsia="Times New Roman" w:hAnsi="Times New Roman" w:cs="Times New Roman"/>
          <w:color w:val="000000"/>
          <w:spacing w:val="0"/>
          <w:w w:val="100"/>
          <w:position w:val="0"/>
          <w:shd w:val="clear" w:color="auto" w:fill="auto"/>
          <w:lang w:val="de-DE" w:eastAsia="de-DE" w:bidi="de-DE"/>
        </w:rPr>
        <w:t xml:space="preserve">Carolinas </w:t>
      </w:r>
      <w:r>
        <w:rPr>
          <w:rFonts w:ascii="Times New Roman" w:eastAsia="Times New Roman" w:hAnsi="Times New Roman" w:cs="Times New Roman"/>
          <w:color w:val="000000"/>
          <w:spacing w:val="0"/>
          <w:w w:val="100"/>
          <w:position w:val="0"/>
          <w:shd w:val="clear" w:color="auto" w:fill="auto"/>
          <w:lang w:val="en-US" w:eastAsia="en-US" w:bidi="en-US"/>
        </w:rPr>
        <w:t>and Georgia. In 1784, when North Carolina first ceded its western lands to the Federal government, he took part in the revolt of the western settlements; he was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president of the first convention which met in Jonesboro on the 23rd of August, and opposed the erection of a new state, but when the state of </w:t>
      </w:r>
      <w:r>
        <w:rPr>
          <w:rFonts w:ascii="Times New Roman" w:eastAsia="Times New Roman" w:hAnsi="Times New Roman" w:cs="Times New Roman"/>
          <w:color w:val="000000"/>
          <w:spacing w:val="0"/>
          <w:w w:val="100"/>
          <w:position w:val="0"/>
          <w:shd w:val="clear" w:color="auto" w:fill="auto"/>
          <w:lang w:val="de-DE" w:eastAsia="de-DE" w:bidi="de-DE"/>
        </w:rPr>
        <w:t xml:space="preserve">Frankland </w:t>
      </w:r>
      <w:r>
        <w:rPr>
          <w:rFonts w:ascii="Times New Roman" w:eastAsia="Times New Roman" w:hAnsi="Times New Roman" w:cs="Times New Roman"/>
          <w:color w:val="000000"/>
          <w:spacing w:val="0"/>
          <w:w w:val="100"/>
          <w:position w:val="0"/>
          <w:shd w:val="clear" w:color="auto" w:fill="auto"/>
          <w:lang w:val="en-US" w:eastAsia="en-US" w:bidi="en-US"/>
        </w:rPr>
        <w:t>(afterwards Franklin, in honour of Benjamin Franklin) was organized in March 1785, he became its first and only governor (1785-1788), and as such led his riflemen against the Indians; in May 1788, after the end of his term, men in his command massacred several Indians from a friendly village, and thus provoked a war in which Sevier again showed his ability as an Indian fighter. He was arrested by the North Carolina authorities, partly as a leader of the independent government and partly for the Indian massacre, but escaped. About this time he attempted to make an alliance with Spain on behalf of the state of Franklin. In 1789 he was a member of the North Carolina Senate, and in 1790-1791 of the National House of Representatives. After the final cession of its western territory by North Carolina to the United States in 1790 he was appointed brigadier-general of militia for the eastern district of the “ Territory South of the Ohio and conducted the Etowah campaign against the Creeks and Cherokees in 1793. When Tennessee was admitted into the Union as a state, Sevier became its first governor (1796-1801) and was governor again in 1803-1809. He was again a member of the National House of Representatives in 1811-1815, and then was commissioner to determine the boundary of Creek lands in Georgia. He died near Fort Decatur, Georgia, on the 24th of September 1815.</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R. Gilmore,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Rear-Guard of the Revolution</w:t>
      </w:r>
      <w:r>
        <w:rPr>
          <w:rFonts w:ascii="Times New Roman" w:eastAsia="Times New Roman" w:hAnsi="Times New Roman" w:cs="Times New Roman"/>
          <w:color w:val="000000"/>
          <w:spacing w:val="0"/>
          <w:w w:val="100"/>
          <w:position w:val="0"/>
          <w:shd w:val="clear" w:color="auto" w:fill="auto"/>
          <w:lang w:val="en-US" w:eastAsia="en-US" w:bidi="en-US"/>
        </w:rPr>
        <w:t xml:space="preserve"> (New York,</w:t>
      </w:r>
    </w:p>
    <w:p>
      <w:pPr>
        <w:pStyle w:val="Style3"/>
        <w:keepNext w:val="0"/>
        <w:keepLines w:val="0"/>
        <w:widowControl w:val="0"/>
        <w:shd w:val="clear" w:color="auto" w:fill="auto"/>
        <w:tabs>
          <w:tab w:pos="514"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1886)</w:t>
        <w:tab/>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John Sevier as a Commonwealth Builder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w:t>
      </w:r>
    </w:p>
    <w:p>
      <w:pPr>
        <w:pStyle w:val="Style3"/>
        <w:keepNext w:val="0"/>
        <w:keepLines w:val="0"/>
        <w:widowControl w:val="0"/>
        <w:shd w:val="clear" w:color="auto" w:fill="auto"/>
        <w:tabs>
          <w:tab w:pos="519"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1887)</w:t>
        <w:tab/>
        <w:t xml:space="preserve">; errors in Gilmore’s books are pointed out in Theodore Roosevelt’s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Winning of the West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1894-1896).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SÉVIGNÉ, MARIE </w:t>
      </w: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RABUTIN-CHANTAL,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Marquise de </w:t>
      </w:r>
      <w:r>
        <w:rPr>
          <w:rFonts w:ascii="Times New Roman" w:eastAsia="Times New Roman" w:hAnsi="Times New Roman" w:cs="Times New Roman"/>
          <w:color w:val="000000"/>
          <w:spacing w:val="0"/>
          <w:w w:val="100"/>
          <w:position w:val="0"/>
          <w:shd w:val="clear" w:color="auto" w:fill="auto"/>
          <w:lang w:val="en-US" w:eastAsia="en-US" w:bidi="en-US"/>
        </w:rPr>
        <w:t xml:space="preserve">(1626-1696), French letter-writer, was horn at Paris on the 5th of February 1626. The family of Rabutin (if not so illustrious as Bussy, Madame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Sévigné’s notorious cousin, affected to consider it) was one of great age and distinction in Burgundy. It was traceable in documents to the 12th century, and the castle which gave it name still existed, though in ruins, in Madame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Sévigné’s time. The family had been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gens d’épée </w:t>
      </w:r>
      <w:r>
        <w:rPr>
          <w:rFonts w:ascii="Times New Roman" w:eastAsia="Times New Roman" w:hAnsi="Times New Roman" w:cs="Times New Roman"/>
          <w:color w:val="000000"/>
          <w:spacing w:val="0"/>
          <w:w w:val="100"/>
          <w:position w:val="0"/>
          <w:shd w:val="clear" w:color="auto" w:fill="auto"/>
          <w:lang w:val="en-US" w:eastAsia="en-US" w:bidi="en-US"/>
        </w:rPr>
        <w:t xml:space="preserve">for the most part, though François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Rabutin, the author of valuable memoirs on the sixth decade of the 16th century, belonged to it. Marie’s father, Celse </w:t>
      </w:r>
      <w:r>
        <w:rPr>
          <w:rFonts w:ascii="Times New Roman" w:eastAsia="Times New Roman" w:hAnsi="Times New Roman" w:cs="Times New Roman"/>
          <w:color w:val="000000"/>
          <w:spacing w:val="0"/>
          <w:w w:val="100"/>
          <w:position w:val="0"/>
          <w:shd w:val="clear" w:color="auto" w:fill="auto"/>
          <w:lang w:val="fr-FR" w:eastAsia="fr-FR" w:bidi="fr-FR"/>
        </w:rPr>
        <w:t xml:space="preserve">Bénigne de </w:t>
      </w:r>
      <w:r>
        <w:rPr>
          <w:rFonts w:ascii="Times New Roman" w:eastAsia="Times New Roman" w:hAnsi="Times New Roman" w:cs="Times New Roman"/>
          <w:color w:val="000000"/>
          <w:spacing w:val="0"/>
          <w:w w:val="100"/>
          <w:position w:val="0"/>
          <w:shd w:val="clear" w:color="auto" w:fill="auto"/>
          <w:lang w:val="en-US" w:eastAsia="en-US" w:bidi="en-US"/>
        </w:rPr>
        <w:t xml:space="preserve">Rahutin, Baron </w:t>
      </w:r>
      <w:r>
        <w:rPr>
          <w:rFonts w:ascii="Times New Roman" w:eastAsia="Times New Roman" w:hAnsi="Times New Roman" w:cs="Times New Roman"/>
          <w:color w:val="000000"/>
          <w:spacing w:val="0"/>
          <w:w w:val="100"/>
          <w:position w:val="0"/>
          <w:shd w:val="clear" w:color="auto" w:fill="auto"/>
          <w:lang w:val="fr-FR" w:eastAsia="fr-FR" w:bidi="fr-FR"/>
        </w:rPr>
        <w:t xml:space="preserve">de Chantal, </w:t>
      </w:r>
      <w:r>
        <w:rPr>
          <w:rFonts w:ascii="Times New Roman" w:eastAsia="Times New Roman" w:hAnsi="Times New Roman" w:cs="Times New Roman"/>
          <w:color w:val="000000"/>
          <w:spacing w:val="0"/>
          <w:w w:val="100"/>
          <w:position w:val="0"/>
          <w:shd w:val="clear" w:color="auto" w:fill="auto"/>
          <w:lang w:val="en-US" w:eastAsia="en-US" w:bidi="en-US"/>
        </w:rPr>
        <w:t xml:space="preserve">was the son of the celebrated “ </w:t>
      </w:r>
      <w:r>
        <w:rPr>
          <w:rFonts w:ascii="Times New Roman" w:eastAsia="Times New Roman" w:hAnsi="Times New Roman" w:cs="Times New Roman"/>
          <w:color w:val="000000"/>
          <w:spacing w:val="0"/>
          <w:w w:val="100"/>
          <w:position w:val="0"/>
          <w:shd w:val="clear" w:color="auto" w:fill="auto"/>
          <w:lang w:val="fr-FR" w:eastAsia="fr-FR" w:bidi="fr-FR"/>
        </w:rPr>
        <w:t xml:space="preserve">Sainte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Chantal, </w:t>
      </w:r>
      <w:r>
        <w:rPr>
          <w:rFonts w:ascii="Times New Roman" w:eastAsia="Times New Roman" w:hAnsi="Times New Roman" w:cs="Times New Roman"/>
          <w:color w:val="000000"/>
          <w:spacing w:val="0"/>
          <w:w w:val="100"/>
          <w:position w:val="0"/>
          <w:shd w:val="clear" w:color="auto" w:fill="auto"/>
          <w:lang w:val="en-US" w:eastAsia="en-US" w:bidi="en-US"/>
        </w:rPr>
        <w:t xml:space="preserve">friend and disciple of St Francis of Sales; her mother was Marie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Coulange[s]. Celse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Rabutin, a great duellist, was killed during the English descent on the Isle of Rhé in July 1627. His wife did not survive him many years, and Marie was left an orphan at the age of seven years and a few months. She then passed into the care of her grandparents on the mother’s side; but they were both aged, and the survivor of them, Philippe </w:t>
      </w:r>
      <w:r>
        <w:rPr>
          <w:rFonts w:ascii="Times New Roman" w:eastAsia="Times New Roman" w:hAnsi="Times New Roman" w:cs="Times New Roman"/>
          <w:color w:val="000000"/>
          <w:spacing w:val="0"/>
          <w:w w:val="100"/>
          <w:position w:val="0"/>
          <w:shd w:val="clear" w:color="auto" w:fill="auto"/>
          <w:lang w:val="fr-FR" w:eastAsia="fr-FR" w:bidi="fr-FR"/>
        </w:rPr>
        <w:t xml:space="preserve">de Coulanges </w:t>
      </w:r>
      <w:r>
        <w:rPr>
          <w:rFonts w:ascii="Times New Roman" w:eastAsia="Times New Roman" w:hAnsi="Times New Roman" w:cs="Times New Roman"/>
          <w:color w:val="000000"/>
          <w:spacing w:val="0"/>
          <w:w w:val="100"/>
          <w:position w:val="0"/>
          <w:shd w:val="clear" w:color="auto" w:fill="auto"/>
          <w:lang w:val="en-US" w:eastAsia="en-US" w:bidi="en-US"/>
        </w:rPr>
        <w:t xml:space="preserve">(or Coulange), died in 1636, Marie being then ten years old. Her uncle Christophe </w:t>
      </w:r>
      <w:r>
        <w:rPr>
          <w:rFonts w:ascii="Times New Roman" w:eastAsia="Times New Roman" w:hAnsi="Times New Roman" w:cs="Times New Roman"/>
          <w:color w:val="000000"/>
          <w:spacing w:val="0"/>
          <w:w w:val="100"/>
          <w:position w:val="0"/>
          <w:shd w:val="clear" w:color="auto" w:fill="auto"/>
          <w:lang w:val="fr-FR" w:eastAsia="fr-FR" w:bidi="fr-FR"/>
        </w:rPr>
        <w:t xml:space="preserve">de Coulanges, abbé de Livry, </w:t>
      </w:r>
      <w:r>
        <w:rPr>
          <w:rFonts w:ascii="Times New Roman" w:eastAsia="Times New Roman" w:hAnsi="Times New Roman" w:cs="Times New Roman"/>
          <w:color w:val="000000"/>
          <w:spacing w:val="0"/>
          <w:w w:val="100"/>
          <w:position w:val="0"/>
          <w:shd w:val="clear" w:color="auto" w:fill="auto"/>
          <w:lang w:val="en-US" w:eastAsia="en-US" w:bidi="en-US"/>
        </w:rPr>
        <w:t xml:space="preserve">was chosen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her guardian. He was somewhat young for the guardianship of a girl, being only twenty-nine, but readers of his niece’s letters know how well “ </w:t>
      </w:r>
      <w:r>
        <w:rPr>
          <w:rFonts w:ascii="Times New Roman" w:eastAsia="Times New Roman" w:hAnsi="Times New Roman" w:cs="Times New Roman"/>
          <w:color w:val="000000"/>
          <w:spacing w:val="0"/>
          <w:w w:val="100"/>
          <w:position w:val="0"/>
          <w:shd w:val="clear" w:color="auto" w:fill="auto"/>
          <w:lang w:val="fr-FR" w:eastAsia="fr-FR" w:bidi="fr-FR"/>
        </w:rPr>
        <w:t xml:space="preserve">Le Bien Bon </w:t>
      </w:r>
      <w:r>
        <w:rPr>
          <w:rFonts w:ascii="Times New Roman" w:eastAsia="Times New Roman" w:hAnsi="Times New Roman" w:cs="Times New Roman"/>
          <w:color w:val="000000"/>
          <w:spacing w:val="0"/>
          <w:w w:val="100"/>
          <w:position w:val="0"/>
          <w:shd w:val="clear" w:color="auto" w:fill="auto"/>
          <w:lang w:val="en-US" w:eastAsia="en-US" w:bidi="en-US"/>
        </w:rPr>
        <w:t xml:space="preserve">’’ —for such is his name in Madame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Sévigné’s little language— acquitted himself of the trust. He lived till within ten years of his ward’s death, and long after his nominal functions were ended he was in all matters of business the good angel of the family, while for half a century his abbacy of Livry was the favourite residence both of his niece and her daughter. </w:t>
      </w:r>
      <w:r>
        <w:rPr>
          <w:rFonts w:ascii="Times New Roman" w:eastAsia="Times New Roman" w:hAnsi="Times New Roman" w:cs="Times New Roman"/>
          <w:color w:val="000000"/>
          <w:spacing w:val="0"/>
          <w:w w:val="100"/>
          <w:position w:val="0"/>
          <w:shd w:val="clear" w:color="auto" w:fill="auto"/>
          <w:lang w:val="fr-FR" w:eastAsia="fr-FR" w:bidi="fr-FR"/>
        </w:rPr>
        <w:t xml:space="preserve">Coulanges </w:t>
      </w:r>
      <w:r>
        <w:rPr>
          <w:rFonts w:ascii="Times New Roman" w:eastAsia="Times New Roman" w:hAnsi="Times New Roman" w:cs="Times New Roman"/>
          <w:color w:val="000000"/>
          <w:spacing w:val="0"/>
          <w:w w:val="100"/>
          <w:position w:val="0"/>
          <w:shd w:val="clear" w:color="auto" w:fill="auto"/>
          <w:lang w:val="en-US" w:eastAsia="en-US" w:bidi="en-US"/>
        </w:rPr>
        <w:t xml:space="preserve">was much more of a man of business than of a man of letters, but either choice or the fashion of the time induced him to make of his niece a learned lady. </w:t>
      </w:r>
      <w:r>
        <w:rPr>
          <w:rFonts w:ascii="Times New Roman" w:eastAsia="Times New Roman" w:hAnsi="Times New Roman" w:cs="Times New Roman"/>
          <w:color w:val="000000"/>
          <w:spacing w:val="0"/>
          <w:w w:val="100"/>
          <w:position w:val="0"/>
          <w:shd w:val="clear" w:color="auto" w:fill="auto"/>
          <w:lang w:val="fr-FR" w:eastAsia="fr-FR" w:bidi="fr-FR"/>
        </w:rPr>
        <w:t xml:space="preserve">Jean Chapelain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Gilles Ménage </w:t>
      </w:r>
      <w:r>
        <w:rPr>
          <w:rFonts w:ascii="Times New Roman" w:eastAsia="Times New Roman" w:hAnsi="Times New Roman" w:cs="Times New Roman"/>
          <w:color w:val="000000"/>
          <w:spacing w:val="0"/>
          <w:w w:val="100"/>
          <w:position w:val="0"/>
          <w:shd w:val="clear" w:color="auto" w:fill="auto"/>
          <w:lang w:val="en-US" w:eastAsia="en-US" w:bidi="en-US"/>
        </w:rPr>
        <w:t xml:space="preserve">are specially mentioned as her tutors, and Menage at least fell in love with her. Tallemant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Réaux gives more than one instance of the cool and good-humoured raillery with which she received his passion, and the earliest letters of hers that we possess are addressed to Ménage. Another literary friend of her youth was the poet Denis </w:t>
      </w:r>
      <w:r>
        <w:rPr>
          <w:rFonts w:ascii="Times New Roman" w:eastAsia="Times New Roman" w:hAnsi="Times New Roman" w:cs="Times New Roman"/>
          <w:color w:val="000000"/>
          <w:spacing w:val="0"/>
          <w:w w:val="100"/>
          <w:position w:val="0"/>
          <w:shd w:val="clear" w:color="auto" w:fill="auto"/>
          <w:lang w:val="fr-FR" w:eastAsia="fr-FR" w:bidi="fr-FR"/>
        </w:rPr>
        <w:t xml:space="preserve">Sanguin </w:t>
      </w:r>
      <w:r>
        <w:rPr>
          <w:rFonts w:ascii="Times New Roman" w:eastAsia="Times New Roman" w:hAnsi="Times New Roman" w:cs="Times New Roman"/>
          <w:color w:val="000000"/>
          <w:spacing w:val="0"/>
          <w:w w:val="100"/>
          <w:position w:val="0"/>
          <w:shd w:val="clear" w:color="auto" w:fill="auto"/>
          <w:lang w:val="de-DE" w:eastAsia="de-DE" w:bidi="de-DE"/>
        </w:rPr>
        <w:t xml:space="preserve">de Saint-Pavin. </w:t>
      </w:r>
      <w:r>
        <w:rPr>
          <w:rFonts w:ascii="Times New Roman" w:eastAsia="Times New Roman" w:hAnsi="Times New Roman" w:cs="Times New Roman"/>
          <w:color w:val="000000"/>
          <w:spacing w:val="0"/>
          <w:w w:val="100"/>
          <w:position w:val="0"/>
          <w:shd w:val="clear" w:color="auto" w:fill="auto"/>
          <w:lang w:val="en-US" w:eastAsia="en-US" w:bidi="en-US"/>
        </w:rPr>
        <w:t xml:space="preserve">Among her own sex she was intimate with all the coterie of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Rambouillet, </w:t>
      </w:r>
      <w:r>
        <w:rPr>
          <w:rFonts w:ascii="Times New Roman" w:eastAsia="Times New Roman" w:hAnsi="Times New Roman" w:cs="Times New Roman"/>
          <w:color w:val="000000"/>
          <w:spacing w:val="0"/>
          <w:w w:val="100"/>
          <w:position w:val="0"/>
          <w:shd w:val="clear" w:color="auto" w:fill="auto"/>
          <w:lang w:val="en-US" w:eastAsia="en-US" w:bidi="en-US"/>
        </w:rPr>
        <w:t xml:space="preserve">and her special ally was </w:t>
      </w:r>
      <w:r>
        <w:rPr>
          <w:rFonts w:ascii="Times New Roman" w:eastAsia="Times New Roman" w:hAnsi="Times New Roman" w:cs="Times New Roman"/>
          <w:color w:val="000000"/>
          <w:spacing w:val="0"/>
          <w:w w:val="100"/>
          <w:position w:val="0"/>
          <w:shd w:val="clear" w:color="auto" w:fill="auto"/>
          <w:lang w:val="fr-FR" w:eastAsia="fr-FR" w:bidi="fr-FR"/>
        </w:rPr>
        <w:t xml:space="preserve">Mademoiselle de </w:t>
      </w:r>
      <w:r>
        <w:rPr>
          <w:rFonts w:ascii="Times New Roman" w:eastAsia="Times New Roman" w:hAnsi="Times New Roman" w:cs="Times New Roman"/>
          <w:color w:val="000000"/>
          <w:spacing w:val="0"/>
          <w:w w:val="100"/>
          <w:position w:val="0"/>
          <w:shd w:val="clear" w:color="auto" w:fill="auto"/>
          <w:lang w:val="en-US" w:eastAsia="en-US" w:bidi="en-US"/>
        </w:rPr>
        <w:t xml:space="preserve">la Vergne, afterwards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Fayette. In person she was extremely attractive, though the minute critics of the time</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