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continual additions of unpublished letters were made, in great part by the same editor, and at last the whole was remodelled on manuscript copies (the originals unfortunately are available for but few) in the edition called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Grands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Écrivains,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Monmerqué began, but which owing to his death had to be finished by MM. Regnier, Paul Mesnard and Sommer (Paris, 1862-1868). This, which super</w:t>
        <w:softHyphen/>
        <w:t xml:space="preserve">sedes all others (even a handsome edition published during its appearance by M. Silvestre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Sacy), consists of twelve volumes of text, notes, &amp;c., two volumes of lexicon and an album of plates. It contains all the published letters to and from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Sevigné, with the replies where they exist, with all those letters to and from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Simiane (many of which had been added to the main body) that contain any interest. To it must be added two volumes (printed uniformly)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Lettres inédites,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published by M. Ch. Capmas in 1876 and containing numerous variants and additions from a MS. copy discovered in an old curiosity shop at Dijon. Of less elaborate and costly editions that in the collection Didot (6 vols., Paris, v.d.) is the best, though, in common with all others except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Grands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Écrivains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edition, it contains an adulterated text,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Works on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Sevigné are innumerable. Besides essays by nearly all the great French critics from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femmes)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M. Brunetière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(Études critiques),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work of F. Combes,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Madame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Sevigné,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historien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(1885), and G. Boissier’s volume in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Grands Écrivains Français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l-GR" w:eastAsia="el-GR" w:bidi="el-GR"/>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881), should be consulted. The biography by Paul Mesnard is nearly exhaustive, but the most elaborate biographical book is that of Walckenaer (3rd ed., Paris, 1856, 5 vols.), to which should be added the remarkable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Histoire de Mme de Sévigné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Aubenas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Petersburg, 1842). In English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 excellent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little book by Miss Thackeray (Lady Ritchie) (1881) may be recom- mendcd, and also Janet Aldis’s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Mme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Sévignê: The Queen of Letter-writers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 Most of the editions have portraits.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Sa.)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SEVILLE, an inland province of southern Spain, one of the eight provinces into which Andalusia was divided in 1833; bounded on the N. by </w:t>
      </w:r>
      <w:r>
        <w:rPr>
          <w:rFonts w:ascii="Times New Roman" w:eastAsia="Times New Roman" w:hAnsi="Times New Roman" w:cs="Times New Roman"/>
          <w:color w:val="000000"/>
          <w:spacing w:val="0"/>
          <w:w w:val="100"/>
          <w:position w:val="0"/>
          <w:shd w:val="clear" w:color="auto" w:fill="auto"/>
          <w:lang w:val="de-DE" w:eastAsia="de-DE" w:bidi="de-DE"/>
        </w:rPr>
        <w:t xml:space="preserve">Badajoz, </w:t>
      </w:r>
      <w:r>
        <w:rPr>
          <w:rFonts w:ascii="Times New Roman" w:eastAsia="Times New Roman" w:hAnsi="Times New Roman" w:cs="Times New Roman"/>
          <w:color w:val="000000"/>
          <w:spacing w:val="0"/>
          <w:w w:val="100"/>
          <w:position w:val="0"/>
          <w:shd w:val="clear" w:color="auto" w:fill="auto"/>
          <w:lang w:val="en-US" w:eastAsia="en-US" w:bidi="en-US"/>
        </w:rPr>
        <w:t>N.E. by Cordova, S. by Málaga and Cadiz and W. by Huelva. Pop. (1900) 555,256; area 5428 sq. m. The province is bisected by the navigable river Guadalquivir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which here receives the Genil and Guadaira on the left, and the Guadalimar on the right. West of the Guadalquivir the surface is broken by low mountain ranges forming part of the Sierra Morena; the eastern districts are comparatively flat and very fertile, except along the frontiers of Cadiz and Málaga, where rise the Sierras of Gibalbin and Algodonales; and there are extensive marshes near the Guadal- quivir estuary. Coal, copper, iron ore, silicate of alumina, marble and chalk are the chief mineral products; the province is famous for its oranges, and also exports wheat, barley, oats, maize, olives, oil, wine and chick-peas. Iron-founding and the manufacture of gunpowder and ordnance are carried on by the state, and a great expansion of the other manufactures—leather, pottery, soap, flour, cork products, &amp;c.—took place after 1875 owing to the construction of railways between all the larger towns. Cattle-breeding is an important industry in the plains and marshes. Seville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the capital and chief river-port. Other towns described in separate articles are Écija (pop. 1900, 24,372), Osuna (17,826), Carmona (17,215), Utrera (15,138), Moron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Frontera </w:t>
      </w:r>
      <w:r>
        <w:rPr>
          <w:rFonts w:ascii="Times New Roman" w:eastAsia="Times New Roman" w:hAnsi="Times New Roman" w:cs="Times New Roman"/>
          <w:color w:val="000000"/>
          <w:spacing w:val="0"/>
          <w:w w:val="100"/>
          <w:position w:val="0"/>
          <w:shd w:val="clear" w:color="auto" w:fill="auto"/>
          <w:lang w:val="en-US" w:eastAsia="en-US" w:bidi="en-US"/>
        </w:rPr>
        <w:t>(14,190), Marchena (12,468), Lebrija (10,997).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SEVILLE (Span. </w:t>
      </w:r>
      <w:r>
        <w:rPr>
          <w:rFonts w:ascii="Times New Roman" w:eastAsia="Times New Roman" w:hAnsi="Times New Roman" w:cs="Times New Roman"/>
          <w:i/>
          <w:iCs/>
          <w:color w:val="000000"/>
          <w:spacing w:val="0"/>
          <w:w w:val="100"/>
          <w:position w:val="0"/>
          <w:shd w:val="clear" w:color="auto" w:fill="auto"/>
          <w:lang w:val="en-US" w:eastAsia="en-US" w:bidi="en-US"/>
        </w:rPr>
        <w:t>Sevilla,</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Ispalis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Hispalis,</w:t>
      </w:r>
      <w:r>
        <w:rPr>
          <w:rFonts w:ascii="Times New Roman" w:eastAsia="Times New Roman" w:hAnsi="Times New Roman" w:cs="Times New Roman"/>
          <w:color w:val="000000"/>
          <w:spacing w:val="0"/>
          <w:w w:val="100"/>
          <w:position w:val="0"/>
          <w:shd w:val="clear" w:color="auto" w:fill="auto"/>
          <w:lang w:val="en-US" w:eastAsia="en-US" w:bidi="en-US"/>
        </w:rPr>
        <w:t xml:space="preserve"> Moorish </w:t>
      </w:r>
      <w:r>
        <w:rPr>
          <w:rFonts w:ascii="Times New Roman" w:eastAsia="Times New Roman" w:hAnsi="Times New Roman" w:cs="Times New Roman"/>
          <w:i/>
          <w:iCs/>
          <w:color w:val="000000"/>
          <w:spacing w:val="0"/>
          <w:w w:val="100"/>
          <w:position w:val="0"/>
          <w:shd w:val="clear" w:color="auto" w:fill="auto"/>
          <w:lang w:val="en-US" w:eastAsia="en-US" w:bidi="en-US"/>
        </w:rPr>
        <w:t>Ishbīliya),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Spanish province of Seville, and the chief city of Andalusia, on the left bank of the river Guadalquivir, 54 m. from the Atlantic Ocean, and 355 m. by rail S.S.W. of Madrid. Pop. (1900) 148,315. Seville is an archiepiscopal see, a port with many thriving industries, and in size the fourth city in the kingdom, ranking after Madrid, Barcelona and Valencia. Its history, and its treasures of art and architecture render it one of the most interesting places in Europe. It is built in a level alluvial plain, as productive as a garden. Few parts of the city are more than 30 ft. above sea-level, and owing to the frequency of floods an elaborate system of defences against the Guadalquivir and its affluents the Guadaira, Tamarguiflo and Tagarete, was undertaken in 1904. This entailed the construc</w:t>
        <w:softHyphen/>
        <w:t xml:space="preserve">tion (spread over many years) of dykes, walls and surface drains, the raising of certain streets and railway embankments and the diversion of the lower Tagarete along a new channel leading into the Tamarguiflo. The climate is pleasant at all seasons except in summer, when a shade temperature of 116° </w:t>
      </w:r>
      <w:r>
        <w:rPr>
          <w:rFonts w:ascii="Times New Roman" w:eastAsia="Times New Roman" w:hAnsi="Times New Roman" w:cs="Times New Roman"/>
          <w:color w:val="000000"/>
          <w:spacing w:val="0"/>
          <w:w w:val="100"/>
          <w:position w:val="0"/>
          <w:shd w:val="clear" w:color="auto" w:fill="auto"/>
          <w:lang w:val="de-DE" w:eastAsia="de-DE" w:bidi="de-DE"/>
        </w:rPr>
        <w:t xml:space="preserve">Fahr. </w:t>
      </w:r>
      <w:r>
        <w:rPr>
          <w:rFonts w:ascii="Times New Roman" w:eastAsia="Times New Roman" w:hAnsi="Times New Roman" w:cs="Times New Roman"/>
          <w:color w:val="000000"/>
          <w:spacing w:val="0"/>
          <w:w w:val="100"/>
          <w:position w:val="0"/>
          <w:shd w:val="clear" w:color="auto" w:fill="auto"/>
          <w:lang w:val="en-US" w:eastAsia="en-US" w:bidi="en-US"/>
        </w:rPr>
        <w:t>has been recorded. Water is provided by a British company, and a smaller quantity is obtained from Carmona, but the supply is inadequate.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right or western bank of the river is the suburb of the Triana, inhabited to a great extent by gipsies. Seville retains its Moorish appearance in the older quarters, although their narrow and tortuous alleys are lighted by electricity, and traversed, wherever they afford room, by electric tramways. In the more modern districts there are broad avenues and boulevards, the chief of which is the beautiful </w:t>
      </w:r>
      <w:r>
        <w:rPr>
          <w:rFonts w:ascii="Times New Roman" w:eastAsia="Times New Roman" w:hAnsi="Times New Roman" w:cs="Times New Roman"/>
          <w:color w:val="000000"/>
          <w:spacing w:val="0"/>
          <w:w w:val="100"/>
          <w:position w:val="0"/>
          <w:shd w:val="clear" w:color="auto" w:fill="auto"/>
          <w:lang w:val="de-DE" w:eastAsia="de-DE" w:bidi="de-DE"/>
        </w:rPr>
        <w:t xml:space="preserve">Paseo de los </w:t>
      </w:r>
      <w:r>
        <w:rPr>
          <w:rFonts w:ascii="Times New Roman" w:eastAsia="Times New Roman" w:hAnsi="Times New Roman" w:cs="Times New Roman"/>
          <w:color w:val="000000"/>
          <w:spacing w:val="0"/>
          <w:w w:val="100"/>
          <w:position w:val="0"/>
          <w:shd w:val="clear" w:color="auto" w:fill="auto"/>
          <w:lang w:val="en-US" w:eastAsia="en-US" w:bidi="en-US"/>
        </w:rPr>
        <w:t>Delicias, along the river and below the city.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animated and picturesque street-life of Seville has often been painted and described, or even, as in Mozart’s </w:t>
      </w:r>
      <w:r>
        <w:rPr>
          <w:rFonts w:ascii="Times New Roman" w:eastAsia="Times New Roman" w:hAnsi="Times New Roman" w:cs="Times New Roman"/>
          <w:i/>
          <w:iCs/>
          <w:color w:val="000000"/>
          <w:spacing w:val="0"/>
          <w:w w:val="100"/>
          <w:position w:val="0"/>
          <w:shd w:val="clear" w:color="auto" w:fill="auto"/>
          <w:lang w:val="en-US" w:eastAsia="en-US" w:bidi="en-US"/>
        </w:rPr>
        <w:t>Figaro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Don Giovanni,</w:t>
      </w:r>
      <w:r>
        <w:rPr>
          <w:rFonts w:ascii="Times New Roman" w:eastAsia="Times New Roman" w:hAnsi="Times New Roman" w:cs="Times New Roman"/>
          <w:color w:val="000000"/>
          <w:spacing w:val="0"/>
          <w:w w:val="100"/>
          <w:position w:val="0"/>
          <w:shd w:val="clear" w:color="auto" w:fill="auto"/>
          <w:lang w:val="en-US" w:eastAsia="en-US" w:bidi="en-US"/>
        </w:rPr>
        <w:t xml:space="preserve"> Rossini’s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Barbiere </w:t>
      </w:r>
      <w:r>
        <w:rPr>
          <w:rFonts w:ascii="Times New Roman" w:eastAsia="Times New Roman" w:hAnsi="Times New Roman" w:cs="Times New Roman"/>
          <w:i/>
          <w:iCs/>
          <w:color w:val="000000"/>
          <w:spacing w:val="0"/>
          <w:w w:val="100"/>
          <w:position w:val="0"/>
          <w:shd w:val="clear" w:color="auto" w:fill="auto"/>
          <w:lang w:val="en-US" w:eastAsia="en-US" w:bidi="en-US"/>
        </w:rPr>
        <w:t>di Siviglia</w:t>
      </w:r>
      <w:r>
        <w:rPr>
          <w:rFonts w:ascii="Times New Roman" w:eastAsia="Times New Roman" w:hAnsi="Times New Roman" w:cs="Times New Roman"/>
          <w:color w:val="000000"/>
          <w:spacing w:val="0"/>
          <w:w w:val="100"/>
          <w:position w:val="0"/>
          <w:shd w:val="clear" w:color="auto" w:fill="auto"/>
          <w:lang w:val="en-US" w:eastAsia="en-US" w:bidi="en-US"/>
        </w:rPr>
        <w:t xml:space="preserve"> and Bizet’s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Carmen, </w:t>
      </w:r>
      <w:r>
        <w:rPr>
          <w:rFonts w:ascii="Times New Roman" w:eastAsia="Times New Roman" w:hAnsi="Times New Roman" w:cs="Times New Roman"/>
          <w:color w:val="000000"/>
          <w:spacing w:val="0"/>
          <w:w w:val="100"/>
          <w:position w:val="0"/>
          <w:shd w:val="clear" w:color="auto" w:fill="auto"/>
          <w:lang w:val="en-US" w:eastAsia="en-US" w:bidi="en-US"/>
        </w:rPr>
        <w:t>set to music. The townsfolk, and the peasants who have come to town for bull-fights, fairs or carnival, have preserved many of the curious old customs which tend to die out in the other large cities of Spain; they continue to wear the vivid costumes which suit the sunny climate of Andalusia; and their own gaiety, wit and grace of manner are proverbial. Nowhere in Spain are the great Church festivals celebrated with so much splendour; Easter at Seville is especially famous, and at this season the city is usually crowded with foreigners. The stately reserve and formality of Madrid society are almost as unknown here as the feverish industrialism and political passion of Barcelona or Valencia; loyalty, good humour and light-hearted hedonism have always been characteristic of Seville.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Principal Buildings.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cathedral, dedicated to Santa María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 Sede, is the largest church in the world, after St Peter’s at Rome and the Mezquita at Cordova, being 414 ft. long, 271 ft. wide and 100 ft. high to the roof of the nave. The west front is approached by a high flight of steps, and the platform on which the cathedral stands is surrounded by a hundred shafts of columns from the mosque which formerly occupied the site. The work of building began in 1402 and was finished in 1519, so that the one style of Spanish Gothic is fairly preserved throughout the interior, however much the exterior is spoiled by later additions. Unfortunately the west front remained unfinished until 1827, when the central doorway was completed in a very inferior manner; but this has been renewed in a purer style. The fine relief above it representing the Assumption was added in 1885. At the east end are two Gothic doorways with good sculpture in the tympana ; and on the north side the Puerta del Perdon, as it is called, has some exquisite detail over the horse-shoe arch, and a pair of fine bronze doors. The gateway in the southern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designed by Casanova, dates from 1887. The interior forms a parallelogram containing a nave and four aisles with surrounding chapels, a centre dome, 121 ft. high, and at the east end a royal sepulchral chapel, which was an addition of the 16th century. The thirty-two immense clustered columns, the marble floor (1787-1795) and the seventy-four windows filled with painted glass, mostly by Flemish artists of the 16th century, produce an unsurpassed effect of magnificence. The reredos is an enormous Gothic work containing forty-four panels of gilt and coloured wood carvings begun by the Fleming Dancart in 1479 and completed by Spanish artists in 1526; the silver statue of the Virgin is by Francisco Alfaro (1596). The archbishop’s throne and the choir-stalls (1475-1548) are fine pieces of carving, and amongst the notable metal-work are the railings (1519), by Sancho Nuñoz, and the lectern by Bartolomé Morel of the same period. The bronze candelabrum for tenebrae, 25 ft. in height, is a splendid work by B. More (1562). In the Sacristia Alta is a silver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repoussé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reliquary presented by Alphonso the Wise in the 13th century; and in the Sacristia Mayor, which is a good plateresque addition made in 1535 from designs by Diego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Riaño (d. 1532), there is a magnificent collection of church plate and vestments, in- cluding the famous silver monstrance (1580-1587), 12 ft. high, by Juan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Arfe (Arphe). At the west end of the nave is the grave of Ferdinand, the son of Columbus, and at the east end in the royal chapel (1514-1566) lies the body of St Ferdinand of Castile (1200- 1252), which is exposed three times in the year. This chapel also contains the tombs of Alphonso the Wise (1252-1284) and Pedro I. (1350-1369) and a curious life-size image of the Virgin, which was presented to St Ferdinand by St Louis of France in the 13th century. It is in carved wood with movable arms, seated on a silver throne and with hair of spun gold. The chief pictures in the cathedral are the “ Guardian Angel,” the “ St Anthony,”@@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other works of Murillo; the “ Holy Family ” of Alfonso Miguel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Tobar (1678-1738); the “ Nativity ” and “ La Generacion ”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Luis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Vargas; Valdes Leal’s “Marriage of the Virgin,” and Guadelupe's “Descent from the Cross. In the Sacristia Alta are three fine paintings by Alexo Fernandez, and in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Sala </w:t>
      </w:r>
      <w:r>
        <w:rPr>
          <w:rFonts w:ascii="Times New Roman" w:eastAsia="Times New Roman" w:hAnsi="Times New Roman" w:cs="Times New Roman"/>
          <w:color w:val="000000"/>
          <w:spacing w:val="0"/>
          <w:w w:val="100"/>
          <w:position w:val="0"/>
          <w:sz w:val="17"/>
          <w:szCs w:val="17"/>
          <w:shd w:val="clear" w:color="auto" w:fill="auto"/>
          <w:lang w:val="en-US" w:eastAsia="en-US" w:bidi="en-US"/>
        </w:rPr>
        <w:t>Capitular are a “ Conception ” by Murillo and a “ St Ferdinand ” by Francisco Pacheco. The organs (1777 and 1827) are among the largest in the world. A curious and unique ritual is observed by the choir boys on the festivals of Corpus Christi and the Immaculate Conception—a solemn dance with castanets being performed by</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was stolen in 1874, sold in New York for £50, and returned by its purchaser, Mr Schaus.</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