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winter visitor, leaving the Danish coast in March and returning in November, are found in abundance. Additional proof is afforded among the mammalian remains by two periodical phenomena, the shedding of the stag’s antlers and the birth and growth of the young. The flint implements found include flakes, axes, awls, sling-stones or net-weights, and rude lance- heads. A fragment of one polished axe was found at </w:t>
      </w:r>
      <w:r>
        <w:rPr>
          <w:rFonts w:ascii="Times New Roman" w:eastAsia="Times New Roman" w:hAnsi="Times New Roman" w:cs="Times New Roman"/>
          <w:color w:val="000000"/>
          <w:spacing w:val="0"/>
          <w:w w:val="100"/>
          <w:position w:val="0"/>
          <w:shd w:val="clear" w:color="auto" w:fill="auto"/>
          <w:lang w:val="de-DE" w:eastAsia="de-DE" w:bidi="de-DE"/>
        </w:rPr>
        <w:t xml:space="preserve">Havelse </w:t>
      </w:r>
      <w:r>
        <w:rPr>
          <w:rFonts w:ascii="Times New Roman" w:eastAsia="Times New Roman" w:hAnsi="Times New Roman" w:cs="Times New Roman"/>
          <w:color w:val="000000"/>
          <w:spacing w:val="0"/>
          <w:w w:val="100"/>
          <w:position w:val="0"/>
          <w:shd w:val="clear" w:color="auto" w:fill="auto"/>
          <w:lang w:val="en-US" w:eastAsia="en-US" w:bidi="en-US"/>
        </w:rPr>
        <w:t>which had been worked up into a scraper. Small pieces of coarse pottery are also met with. The Danish kitchen-midden men were not cannibals. In physique they seem to have resembled the Lapps, a race of small men with heavy over- hanging brows and round heads. The excavation of the Danish shell-heaps was followed by the investigation of others in other countries. At Omori (Japan), in the Aleutian Islands, in British Columbia, Oregon and California shell-mounds were explored, always with the result of proving that the present populations had been preceded by ruder tribes of great antiquity. On the Atlantic coast of Brazil shell-heaps, which must have taken thousands of years to accumulate, are now overgrown with dense forests.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Bibliography.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—Paul Schumacher,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Kjökken-moddings on the Northern Coast of America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(Smithsonian Reports, 1873);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 Reclus,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Earth and its Inhabitants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York, 1890), vol. xix. ; D. G. Brinton,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Artificial Shell-deposits of the United States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(Smithsonian Reports, Washington, 1866); Lord Avebury,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Prehistoric Times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(6th ed., 1900); J. Wyman, “Fresh-water Shell-mounds of Florida,”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Memoirs of the Peabody Academy of Sci.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 (Salem, Mass., 1875); Morse,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Shell-mounds of Omori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(Tokio,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1879);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 Cushing,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Ancient Key-Dwellers' Remains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(Philadelphia, 1897) ; W. H. Dall,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Tribes of the Extreme North-West: Contributions to North American Ethnology; </w:t>
      </w:r>
      <w:r>
        <w:rPr>
          <w:rFonts w:ascii="Times New Roman" w:eastAsia="Times New Roman" w:hAnsi="Times New Roman" w:cs="Times New Roman"/>
          <w:color w:val="000000"/>
          <w:spacing w:val="0"/>
          <w:w w:val="100"/>
          <w:position w:val="0"/>
          <w:sz w:val="17"/>
          <w:szCs w:val="17"/>
          <w:shd w:val="clear" w:color="auto" w:fill="auto"/>
          <w:lang w:val="en-US" w:eastAsia="en-US" w:bidi="en-US"/>
        </w:rPr>
        <w:t>vol. i. (Washington, 1877).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SHELL-MONEY, a medium of exchange common to many primitive races, consisting of sea shells or pieces of them worked into beads or artificially shaped. Shell-money has not been re- stricted to one quarter of the globe, but in some form or other appears to have been almost universal. It has been found in America, Asia, Africa and Australia. The shell used by the Indians of Alaska and California was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Dentalium </w:t>
      </w:r>
      <w:r>
        <w:rPr>
          <w:rFonts w:ascii="Times New Roman" w:eastAsia="Times New Roman" w:hAnsi="Times New Roman" w:cs="Times New Roman"/>
          <w:i/>
          <w:iCs/>
          <w:color w:val="000000"/>
          <w:spacing w:val="0"/>
          <w:w w:val="100"/>
          <w:position w:val="0"/>
          <w:shd w:val="clear" w:color="auto" w:fill="auto"/>
          <w:lang w:val="en-US" w:eastAsia="en-US" w:bidi="en-US"/>
        </w:rPr>
        <w:t>pretiosum,</w:t>
      </w:r>
      <w:r>
        <w:rPr>
          <w:rFonts w:ascii="Times New Roman" w:eastAsia="Times New Roman" w:hAnsi="Times New Roman" w:cs="Times New Roman"/>
          <w:color w:val="000000"/>
          <w:spacing w:val="0"/>
          <w:w w:val="100"/>
          <w:position w:val="0"/>
          <w:shd w:val="clear" w:color="auto" w:fill="auto"/>
          <w:lang w:val="en-US" w:eastAsia="en-US" w:bidi="en-US"/>
        </w:rPr>
        <w:t xml:space="preserve"> a species of tusk-shell found along the north-west coast. It received its name from its tusk-like appearance, and was valued by length and not by the number of shells. The usual method of measuring was by the finger-joints, and the </w:t>
      </w:r>
      <w:r>
        <w:rPr>
          <w:rFonts w:ascii="Times New Roman" w:eastAsia="Times New Roman" w:hAnsi="Times New Roman" w:cs="Times New Roman"/>
          <w:i/>
          <w:iCs/>
          <w:color w:val="000000"/>
          <w:spacing w:val="0"/>
          <w:w w:val="100"/>
          <w:position w:val="0"/>
          <w:shd w:val="clear" w:color="auto" w:fill="auto"/>
          <w:lang w:val="fr-FR" w:eastAsia="fr-FR" w:bidi="fr-FR"/>
        </w:rPr>
        <w:t>ligua,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highest denomination of their coinage, consisted of twenty-five shells strung together, which from end to end made a total measurement of a fathom (6 ft.) or thereabouts, equalling in English coinage about £50. Farther south on the shore of California the Indians used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Saxidomus gracilis </w:t>
      </w:r>
      <w:r>
        <w:rPr>
          <w:rFonts w:ascii="Times New Roman" w:eastAsia="Times New Roman" w:hAnsi="Times New Roman" w:cs="Times New Roman"/>
          <w:color w:val="000000"/>
          <w:spacing w:val="0"/>
          <w:w w:val="100"/>
          <w:position w:val="0"/>
          <w:shd w:val="clear" w:color="auto" w:fill="auto"/>
          <w:lang w:val="en-US" w:eastAsia="en-US" w:bidi="en-US"/>
        </w:rPr>
        <w:t>or</w:t>
      </w:r>
      <w:r>
        <w:rPr>
          <w:rFonts w:ascii="Times New Roman" w:eastAsia="Times New Roman" w:hAnsi="Times New Roman" w:cs="Times New Roman"/>
          <w:i/>
          <w:iCs/>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Tapis gracilis,</w:t>
      </w:r>
      <w:r>
        <w:rPr>
          <w:rFonts w:ascii="Times New Roman" w:eastAsia="Times New Roman" w:hAnsi="Times New Roman" w:cs="Times New Roman"/>
          <w:color w:val="000000"/>
          <w:spacing w:val="0"/>
          <w:w w:val="100"/>
          <w:position w:val="0"/>
          <w:shd w:val="clear" w:color="auto" w:fill="auto"/>
          <w:lang w:val="en-US" w:eastAsia="en-US" w:bidi="en-US"/>
        </w:rPr>
        <w:t xml:space="preserve"> while in the islands close to the littoral the </w:t>
      </w:r>
      <w:r>
        <w:rPr>
          <w:rFonts w:ascii="Times New Roman" w:eastAsia="Times New Roman" w:hAnsi="Times New Roman" w:cs="Times New Roman"/>
          <w:i/>
          <w:iCs/>
          <w:color w:val="000000"/>
          <w:spacing w:val="0"/>
          <w:w w:val="100"/>
          <w:position w:val="0"/>
          <w:shd w:val="clear" w:color="auto" w:fill="auto"/>
          <w:lang w:val="en-US" w:eastAsia="en-US" w:bidi="en-US"/>
        </w:rPr>
        <w:t>Litornia obesa</w:t>
      </w:r>
      <w:r>
        <w:rPr>
          <w:rFonts w:ascii="Times New Roman" w:eastAsia="Times New Roman" w:hAnsi="Times New Roman" w:cs="Times New Roman"/>
          <w:color w:val="000000"/>
          <w:spacing w:val="0"/>
          <w:w w:val="100"/>
          <w:position w:val="0"/>
          <w:shd w:val="clear" w:color="auto" w:fill="auto"/>
          <w:lang w:val="en-US" w:eastAsia="en-US" w:bidi="en-US"/>
        </w:rPr>
        <w:t xml:space="preserve"> was in commonest use.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 shell most used by primitive peoples has always been the </w:t>
      </w:r>
      <w:r>
        <w:rPr>
          <w:rFonts w:ascii="Times New Roman" w:eastAsia="Times New Roman" w:hAnsi="Times New Roman" w:cs="Times New Roman"/>
          <w:i/>
          <w:iCs/>
          <w:color w:val="000000"/>
          <w:spacing w:val="0"/>
          <w:w w:val="100"/>
          <w:position w:val="0"/>
          <w:shd w:val="clear" w:color="auto" w:fill="auto"/>
          <w:lang w:val="en-US" w:eastAsia="en-US" w:bidi="en-US"/>
        </w:rPr>
        <w:t>Cypraea moneta,</w:t>
      </w:r>
      <w:r>
        <w:rPr>
          <w:rFonts w:ascii="Times New Roman" w:eastAsia="Times New Roman" w:hAnsi="Times New Roman" w:cs="Times New Roman"/>
          <w:color w:val="000000"/>
          <w:spacing w:val="0"/>
          <w:w w:val="100"/>
          <w:position w:val="0"/>
          <w:shd w:val="clear" w:color="auto" w:fill="auto"/>
          <w:lang w:val="en-US" w:eastAsia="en-US" w:bidi="en-US"/>
        </w:rPr>
        <w:t xml:space="preserve"> or money-cowry (see </w:t>
      </w:r>
      <w:r>
        <w:rPr>
          <w:rFonts w:ascii="Times New Roman" w:eastAsia="Times New Roman" w:hAnsi="Times New Roman" w:cs="Times New Roman"/>
          <w:smallCaps/>
          <w:color w:val="000000"/>
          <w:spacing w:val="0"/>
          <w:w w:val="100"/>
          <w:position w:val="0"/>
          <w:shd w:val="clear" w:color="auto" w:fill="auto"/>
          <w:lang w:val="en-US" w:eastAsia="en-US" w:bidi="en-US"/>
        </w:rPr>
        <w:t>Cowry).</w:t>
      </w:r>
      <w:r>
        <w:rPr>
          <w:rFonts w:ascii="Times New Roman" w:eastAsia="Times New Roman" w:hAnsi="Times New Roman" w:cs="Times New Roman"/>
          <w:color w:val="000000"/>
          <w:spacing w:val="0"/>
          <w:w w:val="100"/>
          <w:position w:val="0"/>
          <w:shd w:val="clear" w:color="auto" w:fill="auto"/>
          <w:lang w:val="en-US" w:eastAsia="en-US" w:bidi="en-US"/>
        </w:rPr>
        <w:t xml:space="preserve"> It is most abundant in the Indian Ocean, and is collected more particularly in the Maldive Islands, in Ceylon, along the Malabar coast, in Borneo and other East Indian islands, and in various parts of the African coast from Ras Hafun to Mozambique. It was formerly in familiar use in Bengal, where, though it required 3840 to make a rupee, the annual importation was valued at about £30,000. In western Africa it was, until past the middle of the 19th century, the usual tender, and before the abolition of the slave trade there were large shipments of cowry shells to some of the English ports for reshipment to the slave coast. As the value of the cowry was very much greater in West Africa than in the regions from which the supply was obtained, the trade was extremely lucrative, and in some cases the gains are said to have been 500%</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use of the cowry currency gradually spread inland in Africa, and about 1850 Heinrich Barth found it fairly recognized in Kano, Kuka, Gando, and even Timbuktu. Barth relates that in Muniyoma, one of the ancient divisions of Bomu, the king’s revenue was estimated at 30,000,000 shells, every full-grown man being required to pay annually 1000 shells for himself, 1000 for every pack-ox, and 2000 for every slave in his possession. In the countries on the coast the shells were fastened together in strings of 40 or 100 each, so that fifty or twenty strings represented a dollar; but in the interior they were laboriously counted one by one,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if the trader were expert, five by five. The districts mentioned above received their supply of </w:t>
      </w:r>
      <w:r>
        <w:rPr>
          <w:rFonts w:ascii="Times New Roman" w:eastAsia="Times New Roman" w:hAnsi="Times New Roman" w:cs="Times New Roman"/>
          <w:i/>
          <w:iCs/>
          <w:color w:val="000000"/>
          <w:spacing w:val="0"/>
          <w:w w:val="100"/>
          <w:position w:val="0"/>
          <w:shd w:val="clear" w:color="auto" w:fill="auto"/>
          <w:lang w:val="en-US" w:eastAsia="en-US" w:bidi="en-US"/>
        </w:rPr>
        <w:t>kurdi,</w:t>
      </w:r>
      <w:r>
        <w:rPr>
          <w:rFonts w:ascii="Times New Roman" w:eastAsia="Times New Roman" w:hAnsi="Times New Roman" w:cs="Times New Roman"/>
          <w:color w:val="000000"/>
          <w:spacing w:val="0"/>
          <w:w w:val="100"/>
          <w:position w:val="0"/>
          <w:shd w:val="clear" w:color="auto" w:fill="auto"/>
          <w:lang w:val="en-US" w:eastAsia="en-US" w:bidi="en-US"/>
        </w:rPr>
        <w:t xml:space="preserve"> as they were called, from the west coast; but the regions to the north of Unyamwezi, where they were in use under the name of </w:t>
      </w:r>
      <w:r>
        <w:rPr>
          <w:rFonts w:ascii="Times New Roman" w:eastAsia="Times New Roman" w:hAnsi="Times New Roman" w:cs="Times New Roman"/>
          <w:i/>
          <w:iCs/>
          <w:color w:val="000000"/>
          <w:spacing w:val="0"/>
          <w:w w:val="100"/>
          <w:position w:val="0"/>
          <w:shd w:val="clear" w:color="auto" w:fill="auto"/>
          <w:lang w:val="en-US" w:eastAsia="en-US" w:bidi="en-US"/>
        </w:rPr>
        <w:t>simbi,</w:t>
      </w:r>
      <w:r>
        <w:rPr>
          <w:rFonts w:ascii="Times New Roman" w:eastAsia="Times New Roman" w:hAnsi="Times New Roman" w:cs="Times New Roman"/>
          <w:color w:val="000000"/>
          <w:spacing w:val="0"/>
          <w:w w:val="100"/>
          <w:position w:val="0"/>
          <w:shd w:val="clear" w:color="auto" w:fill="auto"/>
          <w:lang w:val="en-US" w:eastAsia="en-US" w:bidi="en-US"/>
        </w:rPr>
        <w:t xml:space="preserve"> were dependent on Moslem traders from Zanzibar. The shells are still used in the remoter parts of Africa, but are yearly tending to give way to ordinary currency. The shell of the land-snail, </w:t>
      </w:r>
      <w:r>
        <w:rPr>
          <w:rFonts w:ascii="Times New Roman" w:eastAsia="Times New Roman" w:hAnsi="Times New Roman" w:cs="Times New Roman"/>
          <w:i/>
          <w:iCs/>
          <w:color w:val="000000"/>
          <w:spacing w:val="0"/>
          <w:w w:val="100"/>
          <w:position w:val="0"/>
          <w:shd w:val="clear" w:color="auto" w:fill="auto"/>
          <w:lang w:val="en-US" w:eastAsia="en-US" w:bidi="en-US"/>
        </w:rPr>
        <w:t>Achatina monetaria,</w:t>
      </w:r>
      <w:r>
        <w:rPr>
          <w:rFonts w:ascii="Times New Roman" w:eastAsia="Times New Roman" w:hAnsi="Times New Roman" w:cs="Times New Roman"/>
          <w:color w:val="000000"/>
          <w:spacing w:val="0"/>
          <w:w w:val="100"/>
          <w:position w:val="0"/>
          <w:shd w:val="clear" w:color="auto" w:fill="auto"/>
          <w:lang w:val="en-US" w:eastAsia="en-US" w:bidi="en-US"/>
        </w:rPr>
        <w:t xml:space="preserve"> cut into circles with an open centre has been long used as coin in Benguella, Portuguese West Africa. In parts of Asia </w:t>
      </w:r>
      <w:r>
        <w:rPr>
          <w:rFonts w:ascii="Times New Roman" w:eastAsia="Times New Roman" w:hAnsi="Times New Roman" w:cs="Times New Roman"/>
          <w:i/>
          <w:iCs/>
          <w:color w:val="000000"/>
          <w:spacing w:val="0"/>
          <w:w w:val="100"/>
          <w:position w:val="0"/>
          <w:shd w:val="clear" w:color="auto" w:fill="auto"/>
          <w:lang w:val="en-US" w:eastAsia="en-US" w:bidi="en-US"/>
        </w:rPr>
        <w:t>Cyproea annulus,</w:t>
      </w:r>
      <w:r>
        <w:rPr>
          <w:rFonts w:ascii="Times New Roman" w:eastAsia="Times New Roman" w:hAnsi="Times New Roman" w:cs="Times New Roman"/>
          <w:color w:val="000000"/>
          <w:spacing w:val="0"/>
          <w:w w:val="100"/>
          <w:position w:val="0"/>
          <w:shd w:val="clear" w:color="auto" w:fill="auto"/>
          <w:lang w:val="en-US" w:eastAsia="en-US" w:bidi="en-US"/>
        </w:rPr>
        <w:t xml:space="preserve"> the ring cowry, so-called from the bright orange-coloured ring on the back or upper side of the shell, was commonly used. Many specimens were found by Sir Henry Layard in his excavations at Nimrud in 1845-1851.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north Australia different shells were used, one tribe’s shell being often absolutely valueless in the eyes of another tribe. In the islands north of New Guinea the shells are broken into flakes. Holes are bored through these flakes, which are then valued by length, as in the case of the American tusk- shell, the measuring, howevér, being done between the nipples of the breasts instead of by the finger-joints. Two shells are used by these Pacific islanders, one a cowry found on the New Guinea coast, and the other the common pearl shell broken into flakes. As late as 1882 local trade in the Solomon Islands was carried on by means of a coinage of shell beads, small shells laboriously ground down to the required size by the women. No more than were actually needed were made, and as the process was difficult, the value of the coinage was satisfactorily maintained. The custom of breaking or flaking shells was common among some of the American Indian tribes, but the shells so manipulated were of the ponderous </w:t>
      </w:r>
      <w:r>
        <w:rPr>
          <w:rFonts w:ascii="Times New Roman" w:eastAsia="Times New Roman" w:hAnsi="Times New Roman" w:cs="Times New Roman"/>
          <w:i/>
          <w:iCs/>
          <w:color w:val="000000"/>
          <w:spacing w:val="0"/>
          <w:w w:val="100"/>
          <w:position w:val="0"/>
          <w:shd w:val="clear" w:color="auto" w:fill="auto"/>
          <w:lang w:val="en-US" w:eastAsia="en-US" w:bidi="en-US"/>
        </w:rPr>
        <w:t>Pachyderma crassatelloides</w:t>
      </w:r>
      <w:r>
        <w:rPr>
          <w:rFonts w:ascii="Times New Roman" w:eastAsia="Times New Roman" w:hAnsi="Times New Roman" w:cs="Times New Roman"/>
          <w:color w:val="000000"/>
          <w:spacing w:val="0"/>
          <w:w w:val="100"/>
          <w:position w:val="0"/>
          <w:shd w:val="clear" w:color="auto" w:fill="auto"/>
          <w:lang w:val="en-US" w:eastAsia="en-US" w:bidi="en-US"/>
        </w:rPr>
        <w:t xml:space="preserve"> species, while in the South Pacific Islands the </w:t>
      </w:r>
      <w:r>
        <w:rPr>
          <w:rFonts w:ascii="Times New Roman" w:eastAsia="Times New Roman" w:hAnsi="Times New Roman" w:cs="Times New Roman"/>
          <w:i/>
          <w:iCs/>
          <w:color w:val="000000"/>
          <w:spacing w:val="0"/>
          <w:w w:val="100"/>
          <w:position w:val="0"/>
          <w:shd w:val="clear" w:color="auto" w:fill="auto"/>
          <w:lang w:val="en-US" w:eastAsia="en-US" w:bidi="en-US"/>
        </w:rPr>
        <w:t>Oliva carneola</w:t>
      </w:r>
      <w:r>
        <w:rPr>
          <w:rFonts w:ascii="Times New Roman" w:eastAsia="Times New Roman" w:hAnsi="Times New Roman" w:cs="Times New Roman"/>
          <w:color w:val="000000"/>
          <w:spacing w:val="0"/>
          <w:w w:val="100"/>
          <w:position w:val="0"/>
          <w:shd w:val="clear" w:color="auto" w:fill="auto"/>
          <w:lang w:val="en-US" w:eastAsia="en-US" w:bidi="en-US"/>
        </w:rPr>
        <w:t xml:space="preserve"> was used.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Authorities.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—Robert E. C. Stearns, “Ethno-conchology: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Study of Primitive Money,”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Smithsonian Report,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part ii. (Bureau of Ethnology, Washington), for 1887; “Shell-money,”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American Naturalist,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iii. (Salem, 1869); “Aboriginal Shell- money,”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American Naturalist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(1877), vol. xi.; “ On the Shell- money of New Britain,”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Jour. Anthrop. Institute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(1888), vol. xvii.; “ Aboriginal Shell-money,”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Proc. California Acad, of Science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(San Francisco, 1875), vol. v.; E. Ingyrsoll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Country Cousins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York, 1884); S. Powers,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Contributions to North American Ethnology </w:t>
      </w:r>
      <w:r>
        <w:rPr>
          <w:rFonts w:ascii="Times New Roman" w:eastAsia="Times New Roman" w:hAnsi="Times New Roman" w:cs="Times New Roman"/>
          <w:color w:val="000000"/>
          <w:spacing w:val="0"/>
          <w:w w:val="100"/>
          <w:position w:val="0"/>
          <w:sz w:val="17"/>
          <w:szCs w:val="17"/>
          <w:shd w:val="clear" w:color="auto" w:fill="auto"/>
          <w:lang w:val="en-US" w:eastAsia="en-US" w:bidi="en-US"/>
        </w:rPr>
        <w:t>(Washington, 1877), vol. iii.</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SHELTON, THOMAS (fl. 1612-1620), English translator of </w:t>
      </w:r>
      <w:r>
        <w:rPr>
          <w:rFonts w:ascii="Times New Roman" w:eastAsia="Times New Roman" w:hAnsi="Times New Roman" w:cs="Times New Roman"/>
          <w:i/>
          <w:iCs/>
          <w:color w:val="000000"/>
          <w:spacing w:val="0"/>
          <w:w w:val="100"/>
          <w:position w:val="0"/>
          <w:shd w:val="clear" w:color="auto" w:fill="auto"/>
          <w:lang w:val="en-US" w:eastAsia="en-US" w:bidi="en-US"/>
        </w:rPr>
        <w:t>Don Quixote.</w:t>
      </w:r>
      <w:r>
        <w:rPr>
          <w:rFonts w:ascii="Times New Roman" w:eastAsia="Times New Roman" w:hAnsi="Times New Roman" w:cs="Times New Roman"/>
          <w:color w:val="000000"/>
          <w:spacing w:val="0"/>
          <w:w w:val="100"/>
          <w:position w:val="0"/>
          <w:shd w:val="clear" w:color="auto" w:fill="auto"/>
          <w:lang w:val="en-US" w:eastAsia="en-US" w:bidi="en-US"/>
        </w:rPr>
        <w:t xml:space="preserve"> In the dedication of </w:t>
      </w:r>
      <w:r>
        <w:rPr>
          <w:rFonts w:ascii="Times New Roman" w:eastAsia="Times New Roman" w:hAnsi="Times New Roman" w:cs="Times New Roman"/>
          <w:i/>
          <w:iCs/>
          <w:color w:val="000000"/>
          <w:spacing w:val="0"/>
          <w:w w:val="100"/>
          <w:position w:val="0"/>
          <w:shd w:val="clear" w:color="auto" w:fill="auto"/>
          <w:lang w:val="en-US" w:eastAsia="en-US" w:bidi="en-US"/>
        </w:rPr>
        <w:t>The delightfull history of the wittie knight, Don Quishote</w:t>
      </w:r>
      <w:r>
        <w:rPr>
          <w:rFonts w:ascii="Times New Roman" w:eastAsia="Times New Roman" w:hAnsi="Times New Roman" w:cs="Times New Roman"/>
          <w:color w:val="000000"/>
          <w:spacing w:val="0"/>
          <w:w w:val="100"/>
          <w:position w:val="0"/>
          <w:shd w:val="clear" w:color="auto" w:fill="auto"/>
          <w:lang w:val="en-US" w:eastAsia="en-US" w:bidi="en-US"/>
        </w:rPr>
        <w:t xml:space="preserve"> (1612) he explains to his patron, Lord Howard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Walden, afterwards 2nd Earl of Suffolk, that he had translated </w:t>
      </w:r>
      <w:r>
        <w:rPr>
          <w:rFonts w:ascii="Times New Roman" w:eastAsia="Times New Roman" w:hAnsi="Times New Roman" w:cs="Times New Roman"/>
          <w:i/>
          <w:iCs/>
          <w:color w:val="000000"/>
          <w:spacing w:val="0"/>
          <w:w w:val="100"/>
          <w:position w:val="0"/>
          <w:shd w:val="clear" w:color="auto" w:fill="auto"/>
          <w:lang w:val="en-US" w:eastAsia="en-US" w:bidi="en-US"/>
        </w:rPr>
        <w:t>Don Quixote</w:t>
      </w:r>
      <w:r>
        <w:rPr>
          <w:rFonts w:ascii="Times New Roman" w:eastAsia="Times New Roman" w:hAnsi="Times New Roman" w:cs="Times New Roman"/>
          <w:color w:val="000000"/>
          <w:spacing w:val="0"/>
          <w:w w:val="100"/>
          <w:position w:val="0"/>
          <w:shd w:val="clear" w:color="auto" w:fill="auto"/>
          <w:lang w:val="en-US" w:eastAsia="en-US" w:bidi="en-US"/>
        </w:rPr>
        <w:t xml:space="preserve"> from Spanish into English some five or six years previously in the period of forty days for a “ very dear friend ” who was unable to understand the original. Shelton did not use the original edition of Cervantes, but one published in Brussels in 1607. On the appearance of the Brussels imprint of the second part of </w:t>
      </w:r>
      <w:r>
        <w:rPr>
          <w:rFonts w:ascii="Times New Roman" w:eastAsia="Times New Roman" w:hAnsi="Times New Roman" w:cs="Times New Roman"/>
          <w:i/>
          <w:iCs/>
          <w:color w:val="000000"/>
          <w:spacing w:val="0"/>
          <w:w w:val="100"/>
          <w:position w:val="0"/>
          <w:shd w:val="clear" w:color="auto" w:fill="auto"/>
          <w:lang w:val="en-US" w:eastAsia="en-US" w:bidi="en-US"/>
        </w:rPr>
        <w:t>Don Quixote</w:t>
      </w:r>
      <w:r>
        <w:rPr>
          <w:rFonts w:ascii="Times New Roman" w:eastAsia="Times New Roman" w:hAnsi="Times New Roman" w:cs="Times New Roman"/>
          <w:color w:val="000000"/>
          <w:spacing w:val="0"/>
          <w:w w:val="100"/>
          <w:position w:val="0"/>
          <w:shd w:val="clear" w:color="auto" w:fill="auto"/>
          <w:lang w:val="en-US" w:eastAsia="en-US" w:bidi="en-US"/>
        </w:rPr>
        <w:t xml:space="preserve"> in 1616, he translated that also into English, completing his task in 1620, and printing at the same time a revised edition of the first part. His performance has become a classic among English translations for its racy, spirited rendering of the original. Light was thrown on Thomas Shelton’s personal history by the researches of Mr Alexander T. Wright in a paper published in October 1898. Among the kinsfolk of the earl of Suffolk were three persons bearing the name Thomas Shelton, and though all died before 1600 he was probably a member of the same family. It seems safe to identify him with the Thomas Shelton who wrote a sonnet prefixed to the </w:t>
      </w:r>
      <w:r>
        <w:rPr>
          <w:rFonts w:ascii="Times New Roman" w:eastAsia="Times New Roman" w:hAnsi="Times New Roman" w:cs="Times New Roman"/>
          <w:i/>
          <w:iCs/>
          <w:color w:val="000000"/>
          <w:spacing w:val="0"/>
          <w:w w:val="100"/>
          <w:position w:val="0"/>
          <w:shd w:val="clear" w:color="auto" w:fill="auto"/>
          <w:lang w:val="en-US" w:eastAsia="en-US" w:bidi="en-US"/>
        </w:rPr>
        <w:t>Restitution of Decayed Intelligence</w:t>
      </w:r>
      <w:r>
        <w:rPr>
          <w:rFonts w:ascii="Times New Roman" w:eastAsia="Times New Roman" w:hAnsi="Times New Roman" w:cs="Times New Roman"/>
          <w:color w:val="000000"/>
          <w:spacing w:val="0"/>
          <w:w w:val="100"/>
          <w:position w:val="0"/>
          <w:shd w:val="clear" w:color="auto" w:fill="auto"/>
          <w:lang w:val="en-US" w:eastAsia="en-US" w:bidi="en-US"/>
        </w:rPr>
        <w:t xml:space="preserve"> (1605) of Richard Verstegan, who was most likely the friend referred to in Shelton’s preface, for there is reason to believe that both of them were then employed in a matter of doubtful loyalty, the intrigues of the Roman Catholics in England. He was acquainted with the “ crieè of the wild Irish,” and seems to h</w:t>
      </w:r>
      <w:r>
        <w:rPr>
          <w:rFonts w:ascii="Times New Roman" w:eastAsia="Times New Roman" w:hAnsi="Times New Roman" w:cs="Times New Roman"/>
          <w:color w:val="000000"/>
          <w:spacing w:val="0"/>
          <w:w w:val="100"/>
          <w:position w:val="0"/>
          <w:shd w:val="clear" w:color="auto" w:fill="auto"/>
          <w:lang w:val="fr-FR" w:eastAsia="fr-FR" w:bidi="fr-FR"/>
        </w:rPr>
        <w:t xml:space="preserve">ave </w:t>
      </w:r>
      <w:r>
        <w:rPr>
          <w:rFonts w:ascii="Times New Roman" w:eastAsia="Times New Roman" w:hAnsi="Times New Roman" w:cs="Times New Roman"/>
          <w:color w:val="000000"/>
          <w:spacing w:val="0"/>
          <w:w w:val="100"/>
          <w:position w:val="0"/>
          <w:shd w:val="clear" w:color="auto" w:fill="auto"/>
          <w:lang w:val="en-US" w:eastAsia="en-US" w:bidi="en-US"/>
        </w:rPr>
        <w:t>been honestly employed in carrying letters to persons in England from Lord Deputy Fitzwilliam at Dublin Castle. But in 1599 he apparently acted as agent for Florence McCarthy to offer his service to the king of Spain, a commission for which his knowledge of Spanish especially fitted him. Soon afterwards an official precis of the facts was drawn up, in which Shelton was implicated</w:t>
      </w:r>
    </w:p>
    <w:sectPr>
      <w:footnotePr>
        <w:pos w:val="pageBottom"/>
        <w:numFmt w:val="decimal"/>
        <w:numRestart w:val="continuous"/>
      </w:footnotePr>
      <w:pgSz w:w="12240" w:h="15840"/>
      <w:pgMar w:top="941" w:left="902" w:right="904" w:bottom="5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