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294"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sheriff has administrative and limited judicial authority. He sometimes serves for combined counties, as in England for Cambridge and Huntingdon.</w:t>
        <w:tab/>
        <w:t>(J. W.)</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SHERIFFMUIR, a battlefield situated on the verge of the extreme north-western flank of the Ochils, Perthshire, Scotland, watered by Wharry Burn, an affluent of the Allan. It lies within the bounds of the parish of Dunblane, 2½ m. E. by N. of the town. It was the site of an indecisive battle (13th of November 1715) between the Jacobites, about 12,000 strong, under John Erskine, 6th or 11th earl of Mar, and 4000 Royalists under Archibald Campbell, afterwards 3rd duke of Argyll. Both sides, each of which lost 500 men, claimed the victory, although in point of fact Mar deemed it prudent to retreat. The “ battle stone ” enclosed by a railing marks the scene of the encounter.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SHERIF </w:t>
      </w:r>
      <w:r>
        <w:rPr>
          <w:rFonts w:ascii="Times New Roman" w:eastAsia="Times New Roman" w:hAnsi="Times New Roman" w:cs="Times New Roman"/>
          <w:color w:val="000000"/>
          <w:spacing w:val="0"/>
          <w:w w:val="100"/>
          <w:position w:val="0"/>
          <w:shd w:val="clear" w:color="auto" w:fill="auto"/>
          <w:lang w:val="en-US" w:eastAsia="en-US" w:bidi="en-US"/>
        </w:rPr>
        <w:t xml:space="preserve">PASHA (1818-1887), Egyptian statesman, was a Circassian who filled numerous administrative posts under Said and Ismail pashas. He was of better education than most of his contemporaries, and had married a daughter of Colonel </w:t>
      </w:r>
      <w:r>
        <w:rPr>
          <w:rFonts w:ascii="Times New Roman" w:eastAsia="Times New Roman" w:hAnsi="Times New Roman" w:cs="Times New Roman"/>
          <w:color w:val="000000"/>
          <w:spacing w:val="0"/>
          <w:w w:val="100"/>
          <w:position w:val="0"/>
          <w:shd w:val="clear" w:color="auto" w:fill="auto"/>
          <w:lang w:val="fr-FR" w:eastAsia="fr-FR" w:bidi="fr-FR"/>
        </w:rPr>
        <w:t xml:space="preserve">Sèves </w:t>
      </w:r>
      <w:r>
        <w:rPr>
          <w:rFonts w:ascii="Times New Roman" w:eastAsia="Times New Roman" w:hAnsi="Times New Roman" w:cs="Times New Roman"/>
          <w:color w:val="000000"/>
          <w:spacing w:val="0"/>
          <w:w w:val="100"/>
          <w:position w:val="0"/>
          <w:shd w:val="clear" w:color="auto" w:fill="auto"/>
          <w:lang w:val="en-US" w:eastAsia="en-US" w:bidi="en-US"/>
        </w:rPr>
        <w:t xml:space="preserve">the French non-commissioned officer who became </w:t>
      </w:r>
      <w:r>
        <w:rPr>
          <w:rFonts w:ascii="Times New Roman" w:eastAsia="Times New Roman" w:hAnsi="Times New Roman" w:cs="Times New Roman"/>
          <w:color w:val="000000"/>
          <w:spacing w:val="0"/>
          <w:w w:val="100"/>
          <w:position w:val="0"/>
          <w:shd w:val="clear" w:color="auto" w:fill="auto"/>
          <w:lang w:val="fr-FR" w:eastAsia="fr-FR" w:bidi="fr-FR"/>
        </w:rPr>
        <w:t xml:space="preserve">Soliman </w:t>
      </w:r>
      <w:r>
        <w:rPr>
          <w:rFonts w:ascii="Times New Roman" w:eastAsia="Times New Roman" w:hAnsi="Times New Roman" w:cs="Times New Roman"/>
          <w:color w:val="000000"/>
          <w:spacing w:val="0"/>
          <w:w w:val="100"/>
          <w:position w:val="0"/>
          <w:shd w:val="clear" w:color="auto" w:fill="auto"/>
          <w:lang w:val="en-US" w:eastAsia="en-US" w:bidi="en-US"/>
        </w:rPr>
        <w:t xml:space="preserve">Pasha under Mehemet Ali. As minister of foreign affairs he was useful to Ismail, who used Sheriffs bluff </w:t>
      </w:r>
      <w:r>
        <w:rPr>
          <w:rFonts w:ascii="Times New Roman" w:eastAsia="Times New Roman" w:hAnsi="Times New Roman" w:cs="Times New Roman"/>
          <w:i/>
          <w:iCs/>
          <w:color w:val="000000"/>
          <w:spacing w:val="0"/>
          <w:w w:val="100"/>
          <w:position w:val="0"/>
          <w:shd w:val="clear" w:color="auto" w:fill="auto"/>
          <w:lang w:val="en-US" w:eastAsia="en-US" w:bidi="en-US"/>
        </w:rPr>
        <w:t>bonhomie</w:t>
      </w:r>
      <w:r>
        <w:rPr>
          <w:rFonts w:ascii="Times New Roman" w:eastAsia="Times New Roman" w:hAnsi="Times New Roman" w:cs="Times New Roman"/>
          <w:color w:val="000000"/>
          <w:spacing w:val="0"/>
          <w:w w:val="100"/>
          <w:position w:val="0"/>
          <w:shd w:val="clear" w:color="auto" w:fill="auto"/>
          <w:lang w:val="en-US" w:eastAsia="en-US" w:bidi="en-US"/>
        </w:rPr>
        <w:t xml:space="preserve"> to veil many of his most insidious proposals. Of singularly lazy disposition, he yet possessed considerable tact—he was in fact an Egyptian Lord Melbourne, whose policy was to leave everything alone. His favourite argument against any reform was to appeal to the Pyramids as an immutable proof of the solidity of Egypt financially and politically. His fatal optimism rendered him largely responsible for the collapse of Egyptian credit which brought about the fall of Ismail. Upon the military insurrection of September 1881, Sherif was summoned by the khedive Tewfik to form a new ministry. The impossibility of reconciling the financial requirements of the national party with the demands of the British and French controllers of the public debt, compelled him to resign in the following February. After the suppression of the Arabi rebellion he was again installed in office (September 1882) by Tewfik, but in January 1884 he resigned rather than sanction the evacuation of the Sudan. As to the strength of the mahdist movement he had then no conception. When urged by Sir Evelyn Baring (Lord Cromer) early in 1883 to abandon some of the more distant parts of the Sudan, he replied with characteristic light-heartedness: “ </w:t>
      </w:r>
      <w:r>
        <w:rPr>
          <w:rFonts w:ascii="Times New Roman" w:eastAsia="Times New Roman" w:hAnsi="Times New Roman" w:cs="Times New Roman"/>
          <w:color w:val="000000"/>
          <w:spacing w:val="0"/>
          <w:w w:val="100"/>
          <w:position w:val="0"/>
          <w:shd w:val="clear" w:color="auto" w:fill="auto"/>
          <w:lang w:val="fr-FR" w:eastAsia="fr-FR" w:bidi="fr-FR"/>
        </w:rPr>
        <w:t xml:space="preserve">Nous en causerons </w:t>
      </w:r>
      <w:r>
        <w:rPr>
          <w:rFonts w:ascii="Times New Roman" w:eastAsia="Times New Roman" w:hAnsi="Times New Roman" w:cs="Times New Roman"/>
          <w:color w:val="000000"/>
          <w:spacing w:val="0"/>
          <w:w w:val="100"/>
          <w:position w:val="0"/>
          <w:shd w:val="clear" w:color="auto" w:fill="auto"/>
          <w:lang w:val="en-US" w:eastAsia="en-US" w:bidi="en-US"/>
        </w:rPr>
        <w:t xml:space="preserve">plus </w:t>
      </w:r>
      <w:r>
        <w:rPr>
          <w:rFonts w:ascii="Times New Roman" w:eastAsia="Times New Roman" w:hAnsi="Times New Roman" w:cs="Times New Roman"/>
          <w:color w:val="000000"/>
          <w:spacing w:val="0"/>
          <w:w w:val="100"/>
          <w:position w:val="0"/>
          <w:shd w:val="clear" w:color="auto" w:fill="auto"/>
          <w:lang w:val="fr-FR" w:eastAsia="fr-FR" w:bidi="fr-FR"/>
        </w:rPr>
        <w:t>tard; d’abord nous allons donner une bonne raclée à ce monsieur ” (</w:t>
      </w:r>
      <w:r>
        <w:rPr>
          <w:rFonts w:ascii="Times New Roman" w:eastAsia="Times New Roman" w:hAnsi="Times New Roman" w:cs="Times New Roman"/>
          <w:i/>
          <w:iCs/>
          <w:color w:val="000000"/>
          <w:spacing w:val="0"/>
          <w:w w:val="100"/>
          <w:position w:val="0"/>
          <w:shd w:val="clear" w:color="auto" w:fill="auto"/>
          <w:lang w:val="fr-FR" w:eastAsia="fr-FR" w:bidi="fr-FR"/>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mahdi). Hicks Pasha’s expedition was at the time preparing to march on El Obeid. </w:t>
      </w:r>
      <w:r>
        <w:rPr>
          <w:rFonts w:ascii="Times New Roman" w:eastAsia="Times New Roman" w:hAnsi="Times New Roman" w:cs="Times New Roman"/>
          <w:i/>
          <w:iCs/>
          <w:color w:val="000000"/>
          <w:spacing w:val="0"/>
          <w:w w:val="100"/>
          <w:position w:val="0"/>
          <w:shd w:val="clear" w:color="auto" w:fill="auto"/>
          <w:lang w:val="en-US" w:eastAsia="en-US" w:bidi="en-US"/>
        </w:rPr>
        <w:t>(Vide Egypt</w:t>
      </w:r>
      <w:r>
        <w:rPr>
          <w:rFonts w:ascii="Times New Roman" w:eastAsia="Times New Roman" w:hAnsi="Times New Roman" w:cs="Times New Roman"/>
          <w:color w:val="000000"/>
          <w:spacing w:val="0"/>
          <w:w w:val="100"/>
          <w:position w:val="0"/>
          <w:shd w:val="clear" w:color="auto" w:fill="auto"/>
          <w:lang w:val="en-US" w:eastAsia="en-US" w:bidi="en-US"/>
        </w:rPr>
        <w:t xml:space="preserve"> No. 1 (1907), p. 115). Sherif died at Gratz, on the 20th of April 1887.</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SHERLOCK, THOMAS (1678-1761), English divine, the son of William Sherlock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was born at London in 1678. He was educated at Eton and at St Catharine’s Hall, Cambridge, and in 1704 succeeded his father as master of the Temple, where he was very popular. In 1714 he became master of his old college at Cambridge and vice-chancellor of the university, whose privileges he defended against Richard Bentley. In 1715 he was appointed dean of Chichester. He took a prominent part in the Bangorian controversy against Benjamin Hoadly, whom he succeeded as bishop of Bangor in 1728; he was afterwards translated to Salisbury in 1734, and to London in 1748. Sherlock was a capable administrator, and cultivated friendly relations with dissenters. In parliament he was of good service to his old schoolfellow Robert Walpole. He published against Anthony Collins’s deistic </w:t>
      </w:r>
      <w:r>
        <w:rPr>
          <w:rFonts w:ascii="Times New Roman" w:eastAsia="Times New Roman" w:hAnsi="Times New Roman" w:cs="Times New Roman"/>
          <w:i/>
          <w:iCs/>
          <w:color w:val="000000"/>
          <w:spacing w:val="0"/>
          <w:w w:val="100"/>
          <w:position w:val="0"/>
          <w:shd w:val="clear" w:color="auto" w:fill="auto"/>
          <w:lang w:val="en-US" w:eastAsia="en-US" w:bidi="en-US"/>
        </w:rPr>
        <w:t>Grounds of the Christian Religion</w:t>
      </w:r>
      <w:r>
        <w:rPr>
          <w:rFonts w:ascii="Times New Roman" w:eastAsia="Times New Roman" w:hAnsi="Times New Roman" w:cs="Times New Roman"/>
          <w:color w:val="000000"/>
          <w:spacing w:val="0"/>
          <w:w w:val="100"/>
          <w:position w:val="0"/>
          <w:shd w:val="clear" w:color="auto" w:fill="auto"/>
          <w:lang w:val="en-US" w:eastAsia="en-US" w:bidi="en-US"/>
        </w:rPr>
        <w:t xml:space="preserve"> a volume of sermons entitled </w:t>
      </w:r>
      <w:r>
        <w:rPr>
          <w:rFonts w:ascii="Times New Roman" w:eastAsia="Times New Roman" w:hAnsi="Times New Roman" w:cs="Times New Roman"/>
          <w:i/>
          <w:iCs/>
          <w:color w:val="000000"/>
          <w:spacing w:val="0"/>
          <w:w w:val="100"/>
          <w:position w:val="0"/>
          <w:shd w:val="clear" w:color="auto" w:fill="auto"/>
          <w:lang w:val="en-US" w:eastAsia="en-US" w:bidi="en-US"/>
        </w:rPr>
        <w:t>The Use and Interest of Prophecy in the Several Ages of the World</w:t>
      </w:r>
      <w:r>
        <w:rPr>
          <w:rFonts w:ascii="Times New Roman" w:eastAsia="Times New Roman" w:hAnsi="Times New Roman" w:cs="Times New Roman"/>
          <w:color w:val="000000"/>
          <w:spacing w:val="0"/>
          <w:w w:val="100"/>
          <w:position w:val="0"/>
          <w:shd w:val="clear" w:color="auto" w:fill="auto"/>
          <w:lang w:val="en-US" w:eastAsia="en-US" w:bidi="en-US"/>
        </w:rPr>
        <w:t xml:space="preserve"> (1725); and in reply to Thomas Woolston’s </w:t>
      </w:r>
      <w:r>
        <w:rPr>
          <w:rFonts w:ascii="Times New Roman" w:eastAsia="Times New Roman" w:hAnsi="Times New Roman" w:cs="Times New Roman"/>
          <w:i/>
          <w:iCs/>
          <w:color w:val="000000"/>
          <w:spacing w:val="0"/>
          <w:w w:val="100"/>
          <w:position w:val="0"/>
          <w:shd w:val="clear" w:color="auto" w:fill="auto"/>
          <w:lang w:val="en-US" w:eastAsia="en-US" w:bidi="en-US"/>
        </w:rPr>
        <w:t>Discourses on the Miracles</w:t>
      </w:r>
      <w:r>
        <w:rPr>
          <w:rFonts w:ascii="Times New Roman" w:eastAsia="Times New Roman" w:hAnsi="Times New Roman" w:cs="Times New Roman"/>
          <w:color w:val="000000"/>
          <w:spacing w:val="0"/>
          <w:w w:val="100"/>
          <w:position w:val="0"/>
          <w:shd w:val="clear" w:color="auto" w:fill="auto"/>
          <w:lang w:val="en-US" w:eastAsia="en-US" w:bidi="en-US"/>
        </w:rPr>
        <w:t xml:space="preserve"> he wrote a volume entitled </w:t>
      </w:r>
      <w:r>
        <w:rPr>
          <w:rFonts w:ascii="Times New Roman" w:eastAsia="Times New Roman" w:hAnsi="Times New Roman" w:cs="Times New Roman"/>
          <w:i/>
          <w:iCs/>
          <w:color w:val="000000"/>
          <w:spacing w:val="0"/>
          <w:w w:val="100"/>
          <w:position w:val="0"/>
          <w:shd w:val="clear" w:color="auto" w:fill="auto"/>
          <w:lang w:val="en-US" w:eastAsia="en-US" w:bidi="en-US"/>
        </w:rPr>
        <w:t>The Tryol of the Witnesses of the Resurrection of Jesus</w:t>
      </w:r>
      <w:r>
        <w:rPr>
          <w:rFonts w:ascii="Times New Roman" w:eastAsia="Times New Roman" w:hAnsi="Times New Roman" w:cs="Times New Roman"/>
          <w:color w:val="000000"/>
          <w:spacing w:val="0"/>
          <w:w w:val="100"/>
          <w:position w:val="0"/>
          <w:shd w:val="clear" w:color="auto" w:fill="auto"/>
          <w:lang w:val="en-US" w:eastAsia="en-US" w:bidi="en-US"/>
        </w:rPr>
        <w:t xml:space="preserve"> (1729), which soon ran through fourteen editions. His </w:t>
      </w:r>
      <w:r>
        <w:rPr>
          <w:rFonts w:ascii="Times New Roman" w:eastAsia="Times New Roman" w:hAnsi="Times New Roman" w:cs="Times New Roman"/>
          <w:i/>
          <w:iCs/>
          <w:color w:val="000000"/>
          <w:spacing w:val="0"/>
          <w:w w:val="100"/>
          <w:position w:val="0"/>
          <w:shd w:val="clear" w:color="auto" w:fill="auto"/>
          <w:lang w:val="en-US" w:eastAsia="en-US" w:bidi="en-US"/>
        </w:rPr>
        <w:t>Pastoral Letter</w:t>
      </w:r>
      <w:r>
        <w:rPr>
          <w:rFonts w:ascii="Times New Roman" w:eastAsia="Times New Roman" w:hAnsi="Times New Roman" w:cs="Times New Roman"/>
          <w:color w:val="000000"/>
          <w:spacing w:val="0"/>
          <w:w w:val="100"/>
          <w:position w:val="0"/>
          <w:shd w:val="clear" w:color="auto" w:fill="auto"/>
          <w:lang w:val="en-US" w:eastAsia="en-US" w:bidi="en-US"/>
        </w:rPr>
        <w:t xml:space="preserve"> (1750) on “ the late earthquakes ’’ had a circulation of many thousands, and four or five volumes of </w:t>
      </w:r>
      <w:r>
        <w:rPr>
          <w:rFonts w:ascii="Times New Roman" w:eastAsia="Times New Roman" w:hAnsi="Times New Roman" w:cs="Times New Roman"/>
          <w:i/>
          <w:iCs/>
          <w:color w:val="000000"/>
          <w:spacing w:val="0"/>
          <w:w w:val="100"/>
          <w:position w:val="0"/>
          <w:shd w:val="clear" w:color="auto" w:fill="auto"/>
          <w:lang w:val="en-US" w:eastAsia="en-US" w:bidi="en-US"/>
        </w:rPr>
        <w:t>Sermons</w:t>
      </w:r>
      <w:r>
        <w:rPr>
          <w:rFonts w:ascii="Times New Roman" w:eastAsia="Times New Roman" w:hAnsi="Times New Roman" w:cs="Times New Roman"/>
          <w:color w:val="000000"/>
          <w:spacing w:val="0"/>
          <w:w w:val="100"/>
          <w:position w:val="0"/>
          <w:shd w:val="clear" w:color="auto" w:fill="auto"/>
          <w:lang w:val="en-US" w:eastAsia="en-US" w:bidi="en-US"/>
        </w:rPr>
        <w:t xml:space="preserve"> which he published in his later years (1754-1758) were also at one time highly esteemed. He died in July 1761.</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collected edition of his works, with a memoir, in 5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8vo, by J. S. Hughes, appeared in 183o.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SHERLOCK, WILLIAM </w:t>
      </w:r>
      <w:r>
        <w:rPr>
          <w:rFonts w:ascii="Times New Roman" w:eastAsia="Times New Roman" w:hAnsi="Times New Roman" w:cs="Times New Roman"/>
          <w:color w:val="000000"/>
          <w:spacing w:val="0"/>
          <w:w w:val="100"/>
          <w:position w:val="0"/>
          <w:shd w:val="clear" w:color="auto" w:fill="auto"/>
          <w:lang w:val="en-US" w:eastAsia="en-US" w:bidi="en-US"/>
        </w:rPr>
        <w:t xml:space="preserve">(c. 1641-1707), English divine, was born at Southwark about 1641, and was educated at Eton and at Peterhouse College, Cambridge. In 1669 he became rector of St George’s, Botolph Lane, London, and in 1681 he was appointed a prebendary of St Paul’s. In 1674 he showed his controversial bent by an attack on the puritan John Owen, in </w:t>
      </w:r>
      <w:r>
        <w:rPr>
          <w:rFonts w:ascii="Times New Roman" w:eastAsia="Times New Roman" w:hAnsi="Times New Roman" w:cs="Times New Roman"/>
          <w:i/>
          <w:iCs/>
          <w:color w:val="000000"/>
          <w:spacing w:val="0"/>
          <w:w w:val="100"/>
          <w:position w:val="0"/>
          <w:shd w:val="clear" w:color="auto" w:fill="auto"/>
          <w:lang w:val="en-US" w:eastAsia="en-US" w:bidi="en-US"/>
        </w:rPr>
        <w:t>The Knowledge of Jesus Christ and Union with Him.</w:t>
      </w:r>
      <w:r>
        <w:rPr>
          <w:rFonts w:ascii="Times New Roman" w:eastAsia="Times New Roman" w:hAnsi="Times New Roman" w:cs="Times New Roman"/>
          <w:color w:val="000000"/>
          <w:spacing w:val="0"/>
          <w:w w:val="100"/>
          <w:position w:val="0"/>
          <w:shd w:val="clear" w:color="auto" w:fill="auto"/>
          <w:lang w:val="en-US" w:eastAsia="en-US" w:bidi="en-US"/>
        </w:rPr>
        <w:t xml:space="preserve"> In 1684 he published </w:t>
      </w:r>
      <w:r>
        <w:rPr>
          <w:rFonts w:ascii="Times New Roman" w:eastAsia="Times New Roman" w:hAnsi="Times New Roman" w:cs="Times New Roman"/>
          <w:i/>
          <w:iCs/>
          <w:color w:val="000000"/>
          <w:spacing w:val="0"/>
          <w:w w:val="100"/>
          <w:position w:val="0"/>
          <w:shd w:val="clear" w:color="auto" w:fill="auto"/>
          <w:lang w:val="en-US" w:eastAsia="en-US" w:bidi="en-US"/>
        </w:rPr>
        <w:t>The Case of Resistance of the Supreme Powers stated and resolved according to the Doctrine of the Holy Scriptures,</w:t>
      </w:r>
      <w:r>
        <w:rPr>
          <w:rFonts w:ascii="Times New Roman" w:eastAsia="Times New Roman" w:hAnsi="Times New Roman" w:cs="Times New Roman"/>
          <w:color w:val="000000"/>
          <w:spacing w:val="0"/>
          <w:w w:val="100"/>
          <w:position w:val="0"/>
          <w:shd w:val="clear" w:color="auto" w:fill="auto"/>
          <w:lang w:val="en-US" w:eastAsia="en-US" w:bidi="en-US"/>
        </w:rPr>
        <w:t xml:space="preserve"> an ably written treatise, in which he drew the distinction between active and passive obedience which was at that time generally accepted by the high church clergy; in the same year he was made master of the Temple. In 1686 he was reproved for his anti-papal preaching, and his pension stopped. After the Revolution he was suspended for refusing the oaths to William and Mary, but before his final deprivation he yielded, justifying his change of attitude in </w:t>
      </w:r>
      <w:r>
        <w:rPr>
          <w:rFonts w:ascii="Times New Roman" w:eastAsia="Times New Roman" w:hAnsi="Times New Roman" w:cs="Times New Roman"/>
          <w:i/>
          <w:iCs/>
          <w:color w:val="000000"/>
          <w:spacing w:val="0"/>
          <w:w w:val="100"/>
          <w:position w:val="0"/>
          <w:shd w:val="clear" w:color="auto" w:fill="auto"/>
          <w:lang w:val="en-US" w:eastAsia="en-US" w:bidi="en-US"/>
        </w:rPr>
        <w:t>The Case of the Allegiance due to Sovereign Powers stated and resolved according to Scripture and Reason and the Principles of the Church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(1691). During the period of his suspension he wrote a </w:t>
      </w:r>
      <w:r>
        <w:rPr>
          <w:rFonts w:ascii="Times New Roman" w:eastAsia="Times New Roman" w:hAnsi="Times New Roman" w:cs="Times New Roman"/>
          <w:i/>
          <w:iCs/>
          <w:color w:val="000000"/>
          <w:spacing w:val="0"/>
          <w:w w:val="100"/>
          <w:position w:val="0"/>
          <w:shd w:val="clear" w:color="auto" w:fill="auto"/>
          <w:lang w:val="en-US" w:eastAsia="en-US" w:bidi="en-US"/>
        </w:rPr>
        <w:t>Practical Discourse concerning Death,</w:t>
      </w:r>
      <w:r>
        <w:rPr>
          <w:rFonts w:ascii="Times New Roman" w:eastAsia="Times New Roman" w:hAnsi="Times New Roman" w:cs="Times New Roman"/>
          <w:color w:val="000000"/>
          <w:spacing w:val="0"/>
          <w:w w:val="100"/>
          <w:position w:val="0"/>
          <w:shd w:val="clear" w:color="auto" w:fill="auto"/>
          <w:lang w:val="en-US" w:eastAsia="en-US" w:bidi="en-US"/>
        </w:rPr>
        <w:t xml:space="preserve"> which became very popular. In 1690 and 1693 </w:t>
      </w:r>
      <w:r>
        <w:rPr>
          <w:rFonts w:ascii="Times New Roman" w:eastAsia="Times New Roman" w:hAnsi="Times New Roman" w:cs="Times New Roman"/>
          <w:color w:val="000000"/>
          <w:spacing w:val="0"/>
          <w:w w:val="100"/>
          <w:position w:val="0"/>
          <w:shd w:val="clear" w:color="auto" w:fill="auto"/>
          <w:lang w:val="fr-FR" w:eastAsia="fr-FR" w:bidi="fr-FR"/>
        </w:rPr>
        <w:t xml:space="preserve">ne </w:t>
      </w:r>
      <w:r>
        <w:rPr>
          <w:rFonts w:ascii="Times New Roman" w:eastAsia="Times New Roman" w:hAnsi="Times New Roman" w:cs="Times New Roman"/>
          <w:color w:val="000000"/>
          <w:spacing w:val="0"/>
          <w:w w:val="100"/>
          <w:position w:val="0"/>
          <w:shd w:val="clear" w:color="auto" w:fill="auto"/>
          <w:lang w:val="en-US" w:eastAsia="en-US" w:bidi="en-US"/>
        </w:rPr>
        <w:t>pub</w:t>
        <w:softHyphen/>
        <w:t>lished volumes on the doctrine of the Trinity which helped rather than injured the Socinian cause, and involved him in a warm controversy with Robert South and others. He became dean of St Paul’s in 1691, and died at Hampstead in June 1707.</w:t>
      </w:r>
    </w:p>
    <w:p>
      <w:pPr>
        <w:pStyle w:val="Style3"/>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His sermons were collected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8vo (4th ed., 1755).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SHERMAN, JOHN (1823-1900), American financier and statesman, a younger brother of General W. T. Sherman, was born at Lancaster, Ohio, on the 10th of May 1823. He began the study of law at Mansfield, Ohio, and was admitted to the bar in 1844. For ten years he practised his profession with success, and with only casual interest in politics. His associa</w:t>
        <w:softHyphen/>
        <w:t xml:space="preserve">tions and predilections were with the Whigs, and he was a delegate to the National Convention that nominated General Zachary Taylor in 1848. Upon the repeal of the Missouri Compromise by the Kansas-Nebraska Bill in 1854, he joined the great popular movement in Ohio against the policy represented by this bill, and was elected to Congress in the autumn of that year as an “ Anti-Nebraska ” man. In the summer of the next year he took an active part in the formal organization of the Republican party in the state, and at the opening of Congress in December began a long career of public service. As a member of the House (1855-1861), he quickly manifested the qualities which characterized his whole political life. Though a thorough and avowed partisan, he was within the party the counsellor of moderate rather than extreme measures, and thus gained on the whole a position of great influence. He was a member of the committee sent by the House in 1856 to investigate the troubles in Kansas, and drafted the report of the majority. In 1859 he was the Republican candidate for Speaker of the House, but was obliged, after a contest that lasted two months, to withdraw, largely because of the recommendation he had inadvertently given to an anti-slavery book, </w:t>
      </w:r>
      <w:r>
        <w:rPr>
          <w:rFonts w:ascii="Times New Roman" w:eastAsia="Times New Roman" w:hAnsi="Times New Roman" w:cs="Times New Roman"/>
          <w:i/>
          <w:iCs/>
          <w:color w:val="000000"/>
          <w:spacing w:val="0"/>
          <w:w w:val="100"/>
          <w:position w:val="0"/>
          <w:shd w:val="clear" w:color="auto" w:fill="auto"/>
          <w:lang w:val="en-US" w:eastAsia="en-US" w:bidi="en-US"/>
        </w:rPr>
        <w:t>The Impending Crisis of the South</w:t>
      </w:r>
      <w:r>
        <w:rPr>
          <w:rFonts w:ascii="Times New Roman" w:eastAsia="Times New Roman" w:hAnsi="Times New Roman" w:cs="Times New Roman"/>
          <w:color w:val="000000"/>
          <w:spacing w:val="0"/>
          <w:w w:val="100"/>
          <w:position w:val="0"/>
          <w:shd w:val="clear" w:color="auto" w:fill="auto"/>
          <w:lang w:val="en-US" w:eastAsia="en-US" w:bidi="en-US"/>
        </w:rPr>
        <w:t xml:space="preserve"> (1857), by Hinton Rowan HeIper (1829-1909). He became, however, chairman of the Committee on Ways and Means, and was instrumental in the enactment of the Morrill Tariff Act of 1860. In March 1861 he took his seat in the Senate, to which he had been elected to succeed Salmon P. Chase, when the latter became secretary of the treasury. As senator he sat continuously until he became secretary of the treasury in 1877. His interest and efficiency in financial legislation in the House led to his appointment on the Seriate Committee of Finance, and after 1867 he was chairman of this influential committee. He thus became associated with the enactment of all the great fiscal laws through which the strain of war and of reconstruction was sustained. He gave earnest support to the Legal Tender Act, and the substitution of the national for the state banking system. When after the end of the war the question of financial readjustment came up, he vigorously opposed Secretary Hugh McCulloch’s policy of retiring the legal tenders, and urged a different plan for effecting the resumption of specie payments. On the questions relating to political reconstruction and the</w:t>
      </w:r>
    </w:p>
    <w:sectPr>
      <w:footnotePr>
        <w:pos w:val="pageBottom"/>
        <w:numFmt w:val="decimal"/>
        <w:numRestart w:val="continuous"/>
      </w:footnotePr>
      <w:pgSz w:w="12240" w:h="15840"/>
      <w:pgMar w:top="902" w:left="846" w:right="923" w:bottom="6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