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3"/>
        <w:keepNext w:val="0"/>
        <w:keepLines w:val="0"/>
        <w:widowControl w:val="0"/>
        <w:shd w:val="clear" w:color="auto" w:fill="auto"/>
        <w:tabs>
          <w:tab w:pos="2245" w:val="left"/>
          <w:tab w:pos="4342" w:val="left"/>
        </w:tabs>
        <w:bidi w:val="0"/>
        <w:spacing w:line="262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promotes legibility, and the saving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time is very considerable.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Words written thus should be closely connected in sense and awkward joinings avoided. Such phrases are 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am,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▄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have, ▄ you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are, 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you may, ▄ it would, ▄ it would not, ▄ we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are,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▄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have, 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we have not, ▄</w:t>
        <w:tab/>
        <w:t xml:space="preserve">we have never been, ▄ my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dear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friends, ▄ as far as possible, ▄ for the most part,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and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many thousands of others. For the sake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obtaining a good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phraseogram for a common phrase,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often advisable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omit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some part of the consonant outline. Thus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phrase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you must recollect that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may very well be written ▄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(you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must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recollect that).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Lists of recommended phraseograms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given in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Phonographic Phrase Book,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Legal Phrase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Book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the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Railway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Phrase Book.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Specimens of Phonography.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Corresponding Style.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▄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Key.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—If all the feelings of a patriot glow in our bosoms on a perusal of those eloquent speeches which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delivered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senate,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in those public assemblies where the people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frequently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convened to exercise the birthright of Britons—we owe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shorthand. If new fervour be added to our devotion, and an additional stimulus be imparted to our exertions as Christians, by the eloquent appeals and encouraging statements made at the anniversaries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our various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religious societies—we owe it to shorthand. If we have an opportunity in interesting judicial cases, of examining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evidence, and learning the proceedings with as much certainty, and nearly as much minuteness, as if we had been present on the occasion—we owe it to shorthand.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87" w:lineRule="auto"/>
        <w:ind w:lef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Reporting Style.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▄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Key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(the phraseograms being indicated by hyphens).—</w:t>
      </w:r>
      <w:r>
        <w:rPr>
          <w:rFonts w:ascii="Times New Roman" w:eastAsia="Times New Roman" w:hAnsi="Times New Roman" w:cs="Times New Roman"/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Char</w:t>
        <w:softHyphen/>
        <w:t>acteristics of the Age.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—The peculiar and distinguishing char</w:t>
        <w:softHyphen/>
        <w:t xml:space="preserve">acteristics of the present-age are-in every respect remarkable. Unquestionably, an extraordinary and universal-change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</w:t>
        <w:softHyphen/>
        <w:t xml:space="preserve">menced in the internal as well as the external world—in the mind of man as well as in the habits of society, the one indeed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>bei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ng the necessary consequence of the other. A rational consideration of the circumstances in which mankind are at present placed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show us that influences of the most-important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wonderful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character have been and are operating in such a manner as to bring about if not a reformation, a thorough revolution in the organization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society. Never in the history of the world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benevolent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philanthropie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institutions for the relief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domestic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public affliction; societies for the promotion of manufacturing, commercial and agricultural interests; associations for the instruction of the masses, the advancement of literature and science,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development of true political principles, for the extension in short of every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description of knowledge and the bringing about of every kind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reform,—been so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numerous, so efficient and so indefatigable in their operation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at-the-present-day.∙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enumeration made in 1894 showed that 95% of British newspaper reporters used Pitman’s system; but there are still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numerous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varieties preferred by individuals. Of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systems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published since the invention of phonography the principal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A. M. Bell’s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Slenophonography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(Edinburgh,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1852),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Professor J. D. Everett’s (London, 1877),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Pocknell’s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Legible Shorthand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(London, 1881), and J. M. Sloan’s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adaptation (the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Sloan-Duployan) of the French system of Duployé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(1882).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More recent essays in English shorthand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almost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entirely in the direction of script characters with con-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nected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vowels, as contrasted with the geometric forms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disjoined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vowels of Pitman’s phonography. The majority are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founded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on the French system of the brothers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Duployé,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Cursive Shorthand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(Cambridge, 1889), by Prof.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L. Callen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dar,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Current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Shorthand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(Oxford, 1892), by Dr Henry Sweet,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noted as original methods, the first having a phonetic,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second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an orthographic and a phonetic, basis.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distinctive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features in recent shorthand history have been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widely-extended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employment of the art, the increased atten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tion paid 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instruction and the growth of stenographic societies.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Throughout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civilized world the systems employed are those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leading authors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19th century; earlier systems have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now a numerically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small number of practitioners. Shorthand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has become an almost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indispensable qualification for the amanu-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ensis, and practical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stenographic ability is a necessary equipment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typewriter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operator. In professional and commercial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offices,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more recently in the services, dictation to shorthand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writers has become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general. Shorthand has been included among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examination subjects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army, navy, civil service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medicine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United Kingdom, and to a certain extent in other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countries. Its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inclusion in the Technical Instruction Act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1889 was the first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recognition of shorthand by the British parlia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ment,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was subsequently comprised in the codes of ele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mentary day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evening continuation schools. It first became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examination subject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secondary schools in the Oxford Local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Examination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1888,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the Society of Arts has examined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students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polytechnics, &amp;c., in shorthand since 1876. Examinations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connexion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with the phonographic system of Isaac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Pitman date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1845.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1887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tercentenary of the origination of modern shorthand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Timothy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Bright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jubilee of Isaac Pitman’s phono-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graphy were celebrated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the holding of the first International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Shorthand Congress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London. Subsequent congresses were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held at Paris (1889),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Munich (1890), when a statue of Gabels-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berger was unveiled;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Berlin (1891), Chicago (1893), Stockholm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(1897), Paris (1900), &amp;c.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These gatherings have promoted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improved organization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stenographic practitioners in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respective countries.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After the first congress, three national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organizations were established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Great Britain by Pitman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writers, which take the place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the Phonetic Society (established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1843 and dissolved in 1895).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America the formation of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national associations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reporters and teachers followed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fifth congress.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 regards speed 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shorthand writing, it may be mentioned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that at the exhibition at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Olympia (London) in 1908, the “ World’s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Shorthand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Championship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’’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was awarded for 220 words a minute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five minutes.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But it has been claimed that a rate of 250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words a minute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has been accomplished. It may be pointed out,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however, that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such a rate cannot be wanted for any practical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purpose, since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fastest public speaker never speaks anything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like 250 words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minute, even though for a demonstration such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thing could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done. The average rate of public speaking is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120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150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words a minute.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Foreign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Shorthand Systems.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complete the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history of the subject, the following notes on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systems introduced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various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European countries may be useful.</w:t>
      </w:r>
    </w:p>
    <w:p>
      <w:pPr>
        <w:pStyle w:val="Style3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</w:pP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German.—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C. A. Ramsay’s 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Tacheοgraphia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(Frankfort, 1679, and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several times afterwards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until 1743) was an adaptation of T. Shelton’s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English system.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Mosengeil (1797) first practically introduced short-</w:t>
      </w:r>
    </w:p>
    <w:sectPr>
      <w:footnotePr>
        <w:pos w:val="pageBottom"/>
        <w:numFmt w:val="decimal"/>
        <w:numRestart w:val="continuous"/>
      </w:footnotePr>
      <w:pgSz w:w="12240" w:h="15840"/>
      <w:pgMar w:top="681" w:left="932" w:right="895" w:bottom="76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Body text_"/>
    <w:basedOn w:val="DefaultParagraphFont"/>
    <w:link w:val="Style3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10">
    <w:name w:val="Body text (10)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harStyle14">
    <w:name w:val="Body text (5)_"/>
    <w:basedOn w:val="DefaultParagraphFont"/>
    <w:link w:val="Style13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styleId="Style3">
    <w:name w:val="Body text"/>
    <w:basedOn w:val="Normal"/>
    <w:link w:val="CharStyle4"/>
    <w:qFormat/>
    <w:pPr>
      <w:widowControl w:val="0"/>
      <w:shd w:val="clear" w:color="auto" w:fill="FFFFFF"/>
      <w:ind w:firstLine="220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9">
    <w:name w:val="Body text (10)"/>
    <w:basedOn w:val="Normal"/>
    <w:link w:val="CharStyle10"/>
    <w:pPr>
      <w:widowControl w:val="0"/>
      <w:shd w:val="clear" w:color="auto" w:fill="FFFFFF"/>
      <w:spacing w:line="295" w:lineRule="auto"/>
      <w:ind w:left="250" w:firstLine="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13">
    <w:name w:val="Body text (5)"/>
    <w:basedOn w:val="Normal"/>
    <w:link w:val="CharStyle14"/>
    <w:pPr>
      <w:widowControl w:val="0"/>
      <w:shd w:val="clear" w:color="auto" w:fill="FFFFFF"/>
      <w:ind w:firstLine="200"/>
    </w:pPr>
    <w:rPr>
      <w:rFonts w:ascii="Georgia" w:eastAsia="Georgia" w:hAnsi="Georgia" w:cs="Georgia"/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