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is spending vast sums of money in the acquisition of MSS.” It is noteworthy, however, that Gerbert never writes for a copy of one of the Christian fathers, his aim being, seemingly, to preserve the fragments of a fast-perishing secular Latin literature. Despite his residence on the Spanish mark, he shows no token of a knowledge of Arabic, a fact which is perhaps sufficient to overthrow the statement of Adhemar as to his having studied at Cordova. There is hardly a trace to be found in his writings of any acquaintance with Greek.</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 remarkable a character as that of Gerbert left its mark on the age, and fables soon began to cluster round his name. Towards the end of the 11th century Cardinal Benno, the opponent of Hilde</w:t>
        <w:softHyphen/>
        <w:t>brand, is said to have made him the first of a long line of magician popes. Ordericus Vitalis improves this legend by details of an inter</w:t>
        <w:softHyphen/>
        <w:t>view with the devil, who prophesied Gerbert’s threefold elevation in the famous line that Gerbert’s contemporaries attributed to the pope himself :</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Transit in R. Gerbertus in R. post papa vigens 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few years later William of Malmesbury adds a love adventure at Cordova, a compact with the devil, the story of a speaking statue that foretold Gerbert’s death at Jerusalem—a prophecy fulfilled, somewhat as in the case of Henry* IV. of England, by his dying in the Jerusalem church of Rome—and that imaginative story of the statue with the legend “ Strike here,” which, after having found its way into the </w:t>
      </w:r>
      <w:r>
        <w:rPr>
          <w:rFonts w:ascii="Times New Roman" w:eastAsia="Times New Roman" w:hAnsi="Times New Roman" w:cs="Times New Roman"/>
          <w:i/>
          <w:iCs/>
          <w:color w:val="000000"/>
          <w:spacing w:val="0"/>
          <w:w w:val="100"/>
          <w:position w:val="0"/>
          <w:shd w:val="clear" w:color="auto" w:fill="auto"/>
          <w:lang w:val="en-US" w:eastAsia="en-US" w:bidi="en-US"/>
        </w:rPr>
        <w:t>Gesta Romanorum,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of late been revived in the </w:t>
      </w:r>
      <w:r>
        <w:rPr>
          <w:rFonts w:ascii="Times New Roman" w:eastAsia="Times New Roman" w:hAnsi="Times New Roman" w:cs="Times New Roman"/>
          <w:i/>
          <w:iCs/>
          <w:color w:val="000000"/>
          <w:spacing w:val="0"/>
          <w:w w:val="100"/>
          <w:position w:val="0"/>
          <w:shd w:val="clear" w:color="auto" w:fill="auto"/>
          <w:lang w:val="en-US" w:eastAsia="en-US" w:bidi="en-US"/>
        </w:rPr>
        <w:t>Earthly Paradise.</w:t>
      </w:r>
    </w:p>
    <w:p>
      <w:pPr>
        <w:pStyle w:val="Style3"/>
        <w:keepNext w:val="0"/>
        <w:keepLines w:val="0"/>
        <w:widowControl w:val="0"/>
        <w:shd w:val="clear" w:color="auto" w:fill="auto"/>
        <w:tabs>
          <w:tab w:pos="4171"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Gerbert’s extant works may be divided into five classes.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A collection of letters, some 230 in number. These are to be found for the most part in an 11th-century MS. at Leiden. Other important MSS. are those of the Barberini Library at Rome (late 16th century), of Middlehill (17th century), and of St Peter’s abbey, Salzburg. With the letters may be grouped the papal decrees of Gerbert when Silvester 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Acta concilii Remensis ad Sanctum Basolum,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detailed account of the proceedings and discourses at the great council of St Basle; a shorter account of his apologetic speeches at the councils of Mouzon and Causey; and drafts of the decrees of two or three other councils or imperial constitutions promulgated when he was archbishop of Ravenna or pope. The important works on the three above-mentioned councils are to be found in the 11th- century Leiden MS. just alluded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Gerbert’s theological works comprise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Sermo de informatione episcoporum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 treatise en</w:t>
        <w:softHyphen/>
        <w:t xml:space="preserve">titled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corpore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sanguine Domini,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both of very doubtful authen</w:t>
        <w:softHyphen/>
        <w:t>ticity.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his philosophical works we only have 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Libellus de rationali el ratione uti,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written at the request of Otto III. and pre</w:t>
        <w:softHyphen/>
        <w:t>served in an 11th-century MS. at Paris.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His mathematical works consist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Regula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abaco computi,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which a I2th-century MS. is to be found at the Vatican ; and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Libellus de numerorum divisione </w:t>
      </w:r>
      <w:r>
        <w:rPr>
          <w:rFonts w:ascii="Times New Roman" w:eastAsia="Times New Roman" w:hAnsi="Times New Roman" w:cs="Times New Roman"/>
          <w:color w:val="000000"/>
          <w:spacing w:val="0"/>
          <w:w w:val="100"/>
          <w:position w:val="0"/>
          <w:sz w:val="18"/>
          <w:szCs w:val="18"/>
          <w:shd w:val="clear" w:color="auto" w:fill="auto"/>
          <w:lang w:val="en-US" w:eastAsia="en-US" w:bidi="en-US"/>
        </w:rPr>
        <w:t>(11th- and 12th-century MSS. at Rome, Montpellier and Paris), dedicated to his friend and correspondent Constantine of Fleury. A long treatise on geometry, attributed to Gerbert, is of somewhat doubtful authenticity. To these may be added a very short dis</w:t>
        <w:softHyphen/>
        <w:t>quisition on the same subject addressed to Adalbold, and a similar one, on one of his own spheres, addressed to Constantine, abbot of Micy. All the writings of Gerbert are collected in the edition of A. Olleris (Clermont, 1867).</w:t>
        <w:tab/>
        <w:t>(T. A. 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Silvester</w:t>
      </w:r>
      <w:r>
        <w:rPr>
          <w:rFonts w:ascii="Times New Roman" w:eastAsia="Times New Roman" w:hAnsi="Times New Roman" w:cs="Times New Roman"/>
          <w:color w:val="000000"/>
          <w:spacing w:val="0"/>
          <w:w w:val="100"/>
          <w:position w:val="0"/>
          <w:shd w:val="clear" w:color="auto" w:fill="auto"/>
          <w:lang w:val="en-US" w:eastAsia="en-US" w:bidi="en-US"/>
        </w:rPr>
        <w:t xml:space="preserve"> III. When Boniface IX. was driven from Rome early in January 1044, John, bishop of Sabina, was elected in his stead and took the title of Silvester III. Within three months Boniface returned and expelled his rival. Nearly three years later (December 1046) the council of Sutri deprived him of his bishopric and priesthood. He was then sent to a monastery, where he seems to have died.</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SILVESTRE, PAUL ARMAND </w:t>
      </w:r>
      <w:r>
        <w:rPr>
          <w:rFonts w:ascii="Times New Roman" w:eastAsia="Times New Roman" w:hAnsi="Times New Roman" w:cs="Times New Roman"/>
          <w:color w:val="000000"/>
          <w:spacing w:val="0"/>
          <w:w w:val="100"/>
          <w:position w:val="0"/>
          <w:shd w:val="clear" w:color="auto" w:fill="auto"/>
          <w:lang w:val="en-US" w:eastAsia="en-US" w:bidi="en-US"/>
        </w:rPr>
        <w:t xml:space="preserve">(1837-1901), French poet and </w:t>
      </w:r>
      <w:r>
        <w:rPr>
          <w:rFonts w:ascii="Times New Roman" w:eastAsia="Times New Roman" w:hAnsi="Times New Roman" w:cs="Times New Roman"/>
          <w:i/>
          <w:iCs/>
          <w:color w:val="000000"/>
          <w:spacing w:val="0"/>
          <w:w w:val="100"/>
          <w:position w:val="0"/>
          <w:shd w:val="clear" w:color="auto" w:fill="auto"/>
          <w:lang w:val="fr-FR" w:eastAsia="fr-FR" w:bidi="fr-FR"/>
        </w:rPr>
        <w:t>conteur,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bom in Paris on the 18th of April 1837. He studied at the </w:t>
      </w:r>
      <w:r>
        <w:rPr>
          <w:rFonts w:ascii="Times New Roman" w:eastAsia="Times New Roman" w:hAnsi="Times New Roman" w:cs="Times New Roman"/>
          <w:i/>
          <w:iCs/>
          <w:color w:val="000000"/>
          <w:spacing w:val="0"/>
          <w:w w:val="100"/>
          <w:position w:val="0"/>
          <w:shd w:val="clear" w:color="auto" w:fill="auto"/>
          <w:lang w:val="fr-FR" w:eastAsia="fr-FR" w:bidi="fr-FR"/>
        </w:rPr>
        <w:t>Ecole polytechnique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the intention of entering the army, but in 1870 he entered the department of finance. He had a successful official career, was decorated with the Legion of Honour in 1886, and in 1892 was made inspector of fine arts. Armand Silvestre made his entry into literature as a poet, and was reckoned among the Parnassians. His volumes of verse include: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Rimes </w:t>
      </w:r>
      <w:r>
        <w:rPr>
          <w:rFonts w:ascii="Times New Roman" w:eastAsia="Times New Roman" w:hAnsi="Times New Roman" w:cs="Times New Roman"/>
          <w:i/>
          <w:iCs/>
          <w:color w:val="000000"/>
          <w:spacing w:val="0"/>
          <w:w w:val="100"/>
          <w:position w:val="0"/>
          <w:shd w:val="clear" w:color="auto" w:fill="auto"/>
          <w:lang w:val="fr-FR" w:eastAsia="fr-FR" w:bidi="fr-FR"/>
        </w:rPr>
        <w:t>neuves et vieilles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(1866), to which George Sand wrote a preface; </w:t>
      </w:r>
      <w:r>
        <w:rPr>
          <w:rFonts w:ascii="Times New Roman" w:eastAsia="Times New Roman" w:hAnsi="Times New Roman" w:cs="Times New Roman"/>
          <w:i/>
          <w:iCs/>
          <w:color w:val="000000"/>
          <w:spacing w:val="0"/>
          <w:w w:val="100"/>
          <w:position w:val="0"/>
          <w:shd w:val="clear" w:color="auto" w:fill="auto"/>
          <w:lang w:val="en-US" w:eastAsia="en-US" w:bidi="en-US"/>
        </w:rPr>
        <w:t>Les Renaissances</w:t>
      </w:r>
      <w:r>
        <w:rPr>
          <w:rFonts w:ascii="Times New Roman" w:eastAsia="Times New Roman" w:hAnsi="Times New Roman" w:cs="Times New Roman"/>
          <w:color w:val="000000"/>
          <w:spacing w:val="0"/>
          <w:w w:val="100"/>
          <w:position w:val="0"/>
          <w:shd w:val="clear" w:color="auto" w:fill="auto"/>
          <w:lang w:val="en-US" w:eastAsia="en-US" w:bidi="en-US"/>
        </w:rPr>
        <w:t xml:space="preserve"> (1870);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Chanson des </w:t>
      </w:r>
      <w:r>
        <w:rPr>
          <w:rFonts w:ascii="Times New Roman" w:eastAsia="Times New Roman" w:hAnsi="Times New Roman" w:cs="Times New Roman"/>
          <w:i/>
          <w:iCs/>
          <w:color w:val="000000"/>
          <w:spacing w:val="0"/>
          <w:w w:val="100"/>
          <w:position w:val="0"/>
          <w:shd w:val="clear" w:color="auto" w:fill="auto"/>
          <w:lang w:val="fr-FR" w:eastAsia="fr-FR" w:bidi="fr-FR"/>
        </w:rPr>
        <w:t>heures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(1878); </w:t>
      </w:r>
      <w:r>
        <w:rPr>
          <w:rFonts w:ascii="Times New Roman" w:eastAsia="Times New Roman" w:hAnsi="Times New Roman" w:cs="Times New Roman"/>
          <w:i/>
          <w:iCs/>
          <w:color w:val="000000"/>
          <w:spacing w:val="0"/>
          <w:w w:val="100"/>
          <w:position w:val="0"/>
          <w:shd w:val="clear" w:color="auto" w:fill="auto"/>
          <w:lang w:val="fr-FR" w:eastAsia="fr-FR" w:bidi="fr-FR"/>
        </w:rPr>
        <w:t>Le Chemin des étoiles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(1885),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 xml:space="preserve">The poet was also a contributor to </w:t>
      </w:r>
      <w:r>
        <w:rPr>
          <w:rFonts w:ascii="Times New Roman" w:eastAsia="Times New Roman" w:hAnsi="Times New Roman" w:cs="Times New Roman"/>
          <w:i/>
          <w:iCs/>
          <w:color w:val="000000"/>
          <w:spacing w:val="0"/>
          <w:w w:val="100"/>
          <w:position w:val="0"/>
          <w:shd w:val="clear" w:color="auto" w:fill="auto"/>
          <w:lang w:val="en-US" w:eastAsia="en-US" w:bidi="en-US"/>
        </w:rPr>
        <w:t>Gil Blas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Parisian journals, distinguishing himself by the licence he permitted himself. To these “ absences” from poetry, as Henri Chantavoine calls them, belong the seven volumes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hd w:val="clear" w:color="auto" w:fill="auto"/>
          <w:lang w:val="fr-FR" w:eastAsia="fr-FR" w:bidi="fr-FR"/>
        </w:rPr>
        <w:t>pour rire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(1881-1883),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Contes </w:t>
      </w:r>
      <w:r>
        <w:rPr>
          <w:rFonts w:ascii="Times New Roman" w:eastAsia="Times New Roman" w:hAnsi="Times New Roman" w:cs="Times New Roman"/>
          <w:i/>
          <w:iCs/>
          <w:color w:val="000000"/>
          <w:spacing w:val="0"/>
          <w:w w:val="100"/>
          <w:position w:val="0"/>
          <w:shd w:val="clear" w:color="auto" w:fill="auto"/>
          <w:lang w:val="fr-FR" w:eastAsia="fr-FR" w:bidi="fr-FR"/>
        </w:rPr>
        <w:t>pantagruéliques et galants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(1884),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Livre des joyeusetés </w:t>
      </w:r>
      <w:r>
        <w:rPr>
          <w:rFonts w:ascii="Times New Roman" w:eastAsia="Times New Roman" w:hAnsi="Times New Roman" w:cs="Times New Roman"/>
          <w:color w:val="000000"/>
          <w:spacing w:val="0"/>
          <w:w w:val="100"/>
          <w:position w:val="0"/>
          <w:shd w:val="clear" w:color="auto" w:fill="auto"/>
          <w:lang w:val="en-US" w:eastAsia="en-US" w:bidi="en-US"/>
        </w:rPr>
        <w:t xml:space="preserve">(1884), </w:t>
      </w:r>
      <w:r>
        <w:rPr>
          <w:rFonts w:ascii="Times New Roman" w:eastAsia="Times New Roman" w:hAnsi="Times New Roman" w:cs="Times New Roman"/>
          <w:i/>
          <w:iCs/>
          <w:color w:val="000000"/>
          <w:spacing w:val="0"/>
          <w:w w:val="100"/>
          <w:position w:val="0"/>
          <w:shd w:val="clear" w:color="auto" w:fill="auto"/>
          <w:lang w:val="fr-FR" w:eastAsia="fr-FR" w:bidi="fr-FR"/>
        </w:rPr>
        <w:t>Gauloiseries nouvelles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(1888), </w:t>
      </w:r>
      <w:r>
        <w:rPr>
          <w:rFonts w:ascii="Times New Roman" w:eastAsia="Times New Roman" w:hAnsi="Times New Roman" w:cs="Times New Roman"/>
          <w:color w:val="000000"/>
          <w:spacing w:val="0"/>
          <w:w w:val="100"/>
          <w:position w:val="0"/>
          <w:shd w:val="clear" w:color="auto" w:fill="auto"/>
          <w:lang w:val="fr-FR" w:eastAsia="fr-FR" w:bidi="fr-FR"/>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 xml:space="preserve">For the </w:t>
      </w:r>
      <w:r>
        <w:rPr>
          <w:rFonts w:ascii="Times New Roman" w:eastAsia="Times New Roman" w:hAnsi="Times New Roman" w:cs="Times New Roman"/>
          <w:color w:val="000000"/>
          <w:spacing w:val="0"/>
          <w:w w:val="100"/>
          <w:position w:val="0"/>
          <w:shd w:val="clear" w:color="auto" w:fill="auto"/>
          <w:lang w:val="fr-FR" w:eastAsia="fr-FR" w:bidi="fr-FR"/>
        </w:rPr>
        <w:t xml:space="preserve">stage </w:t>
      </w:r>
      <w:r>
        <w:rPr>
          <w:rFonts w:ascii="Times New Roman" w:eastAsia="Times New Roman" w:hAnsi="Times New Roman" w:cs="Times New Roman"/>
          <w:color w:val="000000"/>
          <w:spacing w:val="0"/>
          <w:w w:val="100"/>
          <w:position w:val="0"/>
          <w:shd w:val="clear" w:color="auto" w:fill="auto"/>
          <w:lang w:val="en-US" w:eastAsia="en-US" w:bidi="en-US"/>
        </w:rPr>
        <w:t xml:space="preserve">he wrote in many different manners: </w:t>
      </w:r>
      <w:r>
        <w:rPr>
          <w:rFonts w:ascii="Times New Roman" w:eastAsia="Times New Roman" w:hAnsi="Times New Roman" w:cs="Times New Roman"/>
          <w:i/>
          <w:iCs/>
          <w:color w:val="000000"/>
          <w:spacing w:val="0"/>
          <w:w w:val="100"/>
          <w:position w:val="0"/>
          <w:shd w:val="clear" w:color="auto" w:fill="auto"/>
          <w:lang w:val="en-US" w:eastAsia="en-US" w:bidi="en-US"/>
        </w:rPr>
        <w:t>Sapho</w:t>
      </w:r>
      <w:r>
        <w:rPr>
          <w:rFonts w:ascii="Times New Roman" w:eastAsia="Times New Roman" w:hAnsi="Times New Roman" w:cs="Times New Roman"/>
          <w:color w:val="000000"/>
          <w:spacing w:val="0"/>
          <w:w w:val="100"/>
          <w:position w:val="0"/>
          <w:shd w:val="clear" w:color="auto" w:fill="auto"/>
          <w:lang w:val="en-US" w:eastAsia="en-US" w:bidi="en-US"/>
        </w:rPr>
        <w:t xml:space="preserve"> (1881), a drama;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Henry VIII </w:t>
      </w:r>
      <w:r>
        <w:rPr>
          <w:rFonts w:ascii="Times New Roman" w:eastAsia="Times New Roman" w:hAnsi="Times New Roman" w:cs="Times New Roman"/>
          <w:color w:val="000000"/>
          <w:spacing w:val="0"/>
          <w:w w:val="100"/>
          <w:position w:val="0"/>
          <w:shd w:val="clear" w:color="auto" w:fill="auto"/>
          <w:lang w:val="en-US" w:eastAsia="en-US" w:bidi="en-US"/>
        </w:rPr>
        <w:t xml:space="preserve">(1883), with </w:t>
      </w:r>
      <w:r>
        <w:rPr>
          <w:rFonts w:ascii="Times New Roman" w:eastAsia="Times New Roman" w:hAnsi="Times New Roman" w:cs="Times New Roman"/>
          <w:color w:val="000000"/>
          <w:spacing w:val="0"/>
          <w:w w:val="100"/>
          <w:position w:val="0"/>
          <w:shd w:val="clear" w:color="auto" w:fill="auto"/>
          <w:lang w:val="fr-FR" w:eastAsia="fr-FR" w:bidi="fr-FR"/>
        </w:rPr>
        <w:t xml:space="preserve">Léonce </w:t>
      </w:r>
      <w:r>
        <w:rPr>
          <w:rFonts w:ascii="Times New Roman" w:eastAsia="Times New Roman" w:hAnsi="Times New Roman" w:cs="Times New Roman"/>
          <w:color w:val="000000"/>
          <w:spacing w:val="0"/>
          <w:w w:val="100"/>
          <w:position w:val="0"/>
          <w:shd w:val="clear" w:color="auto" w:fill="auto"/>
          <w:lang w:val="en-US" w:eastAsia="en-US" w:bidi="en-US"/>
        </w:rPr>
        <w:t xml:space="preserve">Détroyat, music by Saint-Saëns; and the </w:t>
      </w:r>
      <w:r>
        <w:rPr>
          <w:rFonts w:ascii="Times New Roman" w:eastAsia="Times New Roman" w:hAnsi="Times New Roman" w:cs="Times New Roman"/>
          <w:i/>
          <w:iCs/>
          <w:color w:val="000000"/>
          <w:spacing w:val="0"/>
          <w:w w:val="100"/>
          <w:position w:val="0"/>
          <w:shd w:val="clear" w:color="auto" w:fill="auto"/>
          <w:lang w:val="fr-FR" w:eastAsia="fr-FR" w:bidi="fr-FR"/>
        </w:rPr>
        <w:t>Drames sacrés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(1893), religious pictures after 14th- and 15th- century Italian painters, with music by Gounod. An account of </w:t>
      </w:r>
      <w:r>
        <w:rPr>
          <w:rFonts w:ascii="Times New Roman" w:eastAsia="Times New Roman" w:hAnsi="Times New Roman" w:cs="Times New Roman"/>
          <w:color w:val="000000"/>
          <w:spacing w:val="0"/>
          <w:w w:val="100"/>
          <w:position w:val="0"/>
          <w:shd w:val="clear" w:color="auto" w:fill="auto"/>
          <w:lang w:val="en-US" w:eastAsia="en-US" w:bidi="en-US"/>
        </w:rPr>
        <w:t>his varied and somewhat incongruous production is hardly com</w:t>
        <w:softHyphen/>
        <w:t xml:space="preserve">plete without mention of his art criticism.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Nu au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Salon </w:t>
      </w:r>
      <w:r>
        <w:rPr>
          <w:rFonts w:ascii="Times New Roman" w:eastAsia="Times New Roman" w:hAnsi="Times New Roman" w:cs="Times New Roman"/>
          <w:color w:val="000000"/>
          <w:spacing w:val="0"/>
          <w:w w:val="100"/>
          <w:position w:val="0"/>
          <w:shd w:val="clear" w:color="auto" w:fill="auto"/>
          <w:lang w:val="en-US" w:eastAsia="en-US" w:bidi="en-US"/>
        </w:rPr>
        <w:t>(1888-1892), in five volumes, with numerous illustrations, was followed by other volumes of the same type. He died at Toulouse on the 19th of February 1901.</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SILVESTRE DE SACY, ANTOINE ISAAC, </w:t>
      </w:r>
      <w:r>
        <w:rPr>
          <w:rFonts w:ascii="Times New Roman" w:eastAsia="Times New Roman" w:hAnsi="Times New Roman" w:cs="Times New Roman"/>
          <w:smallCaps/>
          <w:color w:val="000000"/>
          <w:spacing w:val="0"/>
          <w:w w:val="100"/>
          <w:position w:val="0"/>
          <w:shd w:val="clear" w:color="auto" w:fill="auto"/>
          <w:lang w:val="en-US" w:eastAsia="en-US" w:bidi="en-US"/>
        </w:rPr>
        <w:t>Baron</w:t>
      </w:r>
      <w:r>
        <w:rPr>
          <w:rFonts w:ascii="Times New Roman" w:eastAsia="Times New Roman" w:hAnsi="Times New Roman" w:cs="Times New Roman"/>
          <w:color w:val="000000"/>
          <w:spacing w:val="0"/>
          <w:w w:val="100"/>
          <w:position w:val="0"/>
          <w:shd w:val="clear" w:color="auto" w:fill="auto"/>
          <w:lang w:val="en-US" w:eastAsia="en-US" w:bidi="en-US"/>
        </w:rPr>
        <w:t xml:space="preserve"> (1758-1838), French orientalist, was bom in Paris on the 21st of September 1758. His father was a Parisian notary named Silvestre, and the additional name of de Sacy was taken by the younger son after a fashion then common with the Paris </w:t>
      </w:r>
      <w:r>
        <w:rPr>
          <w:rFonts w:ascii="Times New Roman" w:eastAsia="Times New Roman" w:hAnsi="Times New Roman" w:cs="Times New Roman"/>
          <w:i/>
          <w:iCs/>
          <w:color w:val="000000"/>
          <w:spacing w:val="0"/>
          <w:w w:val="100"/>
          <w:position w:val="0"/>
          <w:shd w:val="clear" w:color="auto" w:fill="auto"/>
          <w:lang w:val="en-US" w:eastAsia="en-US" w:bidi="en-US"/>
        </w:rPr>
        <w:t>bourgeoisie.</w:t>
      </w:r>
      <w:r>
        <w:rPr>
          <w:rFonts w:ascii="Times New Roman" w:eastAsia="Times New Roman" w:hAnsi="Times New Roman" w:cs="Times New Roman"/>
          <w:color w:val="000000"/>
          <w:spacing w:val="0"/>
          <w:w w:val="100"/>
          <w:position w:val="0"/>
          <w:shd w:val="clear" w:color="auto" w:fill="auto"/>
          <w:lang w:val="en-US" w:eastAsia="en-US" w:bidi="en-US"/>
        </w:rPr>
        <w:t xml:space="preserve"> From the age of seven years, when he lost his father, he was educated in the closest seclusion by his mother. In 1781 he was appointed councillor in the </w:t>
      </w:r>
      <w:r>
        <w:rPr>
          <w:rFonts w:ascii="Times New Roman" w:eastAsia="Times New Roman" w:hAnsi="Times New Roman" w:cs="Times New Roman"/>
          <w:i/>
          <w:iCs/>
          <w:color w:val="000000"/>
          <w:spacing w:val="0"/>
          <w:w w:val="100"/>
          <w:position w:val="0"/>
          <w:shd w:val="clear" w:color="auto" w:fill="auto"/>
          <w:lang w:val="fr-FR" w:eastAsia="fr-FR" w:bidi="fr-FR"/>
        </w:rPr>
        <w:t>cour des monnaies,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advanced in 1791 to be a commissary-general in the same department. De Sacy had successively acquired all the Semitic languages, and as a civil servant he found time to make himself a great name as an orientalist. He began successfully to decipher the Pahlavi inscriptions of the Sassanian kings (1787-1791).@@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1792 he retired from the public service, and lived in close seclusion in a cottage near Paris till in 1795 he became professor of Arabic in the newly founded school of living Eastern languages. The interval was in part devoted to the study of the religion of the Druses, which was the subject of his last and unfinished work,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Exposé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la religion </w:t>
      </w:r>
      <w:r>
        <w:rPr>
          <w:rFonts w:ascii="Times New Roman" w:eastAsia="Times New Roman" w:hAnsi="Times New Roman" w:cs="Times New Roman"/>
          <w:i/>
          <w:iCs/>
          <w:color w:val="000000"/>
          <w:spacing w:val="0"/>
          <w:w w:val="100"/>
          <w:position w:val="0"/>
          <w:shd w:val="clear" w:color="auto" w:fill="auto"/>
          <w:lang w:val="fr-FR" w:eastAsia="fr-FR" w:bidi="fr-FR"/>
        </w:rPr>
        <w:t>des Druzes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1838). Since the death of Johann Jakob Reiske Arabic learning had been in a backward state. In the </w:t>
      </w:r>
      <w:r>
        <w:rPr>
          <w:rFonts w:ascii="Times New Roman" w:eastAsia="Times New Roman" w:hAnsi="Times New Roman" w:cs="Times New Roman"/>
          <w:i/>
          <w:iCs/>
          <w:color w:val="000000"/>
          <w:spacing w:val="0"/>
          <w:w w:val="100"/>
          <w:position w:val="0"/>
          <w:shd w:val="clear" w:color="auto" w:fill="auto"/>
          <w:lang w:val="fr-FR" w:eastAsia="fr-FR" w:bidi="fr-FR"/>
        </w:rPr>
        <w:t>Grammaire arabe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vols.,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ed. 1810, 2nd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1831) and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Chrestomathie </w:t>
      </w:r>
      <w:r>
        <w:rPr>
          <w:rFonts w:ascii="Times New Roman" w:eastAsia="Times New Roman" w:hAnsi="Times New Roman" w:cs="Times New Roman"/>
          <w:i/>
          <w:iCs/>
          <w:color w:val="000000"/>
          <w:spacing w:val="0"/>
          <w:w w:val="100"/>
          <w:position w:val="0"/>
          <w:shd w:val="clear" w:color="auto" w:fill="auto"/>
          <w:lang w:val="fr-FR" w:eastAsia="fr-FR" w:bidi="fr-FR"/>
        </w:rPr>
        <w:t>arabe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1806), together with its supplement, the </w:t>
      </w:r>
      <w:r>
        <w:rPr>
          <w:rFonts w:ascii="Times New Roman" w:eastAsia="Times New Roman" w:hAnsi="Times New Roman" w:cs="Times New Roman"/>
          <w:i/>
          <w:iCs/>
          <w:color w:val="000000"/>
          <w:spacing w:val="0"/>
          <w:w w:val="100"/>
          <w:position w:val="0"/>
          <w:shd w:val="clear" w:color="auto" w:fill="auto"/>
          <w:lang w:val="fr-FR" w:eastAsia="fr-FR" w:bidi="fr-FR"/>
        </w:rPr>
        <w:t>Anthologie grammaticale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(1829),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Sacy supplied admirable text-books, and earned the gratitude of later Arabic students. In 1806 he added the duties of Persian pro</w:t>
        <w:softHyphen/>
        <w:t xml:space="preserve">fessor to his old chair, and from this time onwards his life was one of increasing honour and success, broken only by a brief period of retreat during the Hundred Days. He was perpetual secretary of the Academy of Inscriptions from 1832 onwards; in 1808 he had entered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corps </w:t>
      </w:r>
      <w:r>
        <w:rPr>
          <w:rFonts w:ascii="Times New Roman" w:eastAsia="Times New Roman" w:hAnsi="Times New Roman" w:cs="Times New Roman"/>
          <w:i/>
          <w:iCs/>
          <w:color w:val="000000"/>
          <w:spacing w:val="0"/>
          <w:w w:val="100"/>
          <w:position w:val="0"/>
          <w:shd w:val="clear" w:color="auto" w:fill="auto"/>
          <w:lang w:val="fr-FR" w:eastAsia="fr-FR" w:bidi="fr-FR"/>
        </w:rPr>
        <w:t>législatif;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made a baron in 1813; and in 1832, when quite an old man, be became a peer of France and was regular in the duties of the chamber. In 1815 he became rector of the university of Paris, and after the second restoration he was active on the commission of public instruction. With Abel </w:t>
      </w:r>
      <w:r>
        <w:rPr>
          <w:rFonts w:ascii="Times New Roman" w:eastAsia="Times New Roman" w:hAnsi="Times New Roman" w:cs="Times New Roman"/>
          <w:color w:val="000000"/>
          <w:spacing w:val="0"/>
          <w:w w:val="100"/>
          <w:position w:val="0"/>
          <w:shd w:val="clear" w:color="auto" w:fill="auto"/>
          <w:lang w:val="fr-FR" w:eastAsia="fr-FR" w:bidi="fr-FR"/>
        </w:rPr>
        <w:t xml:space="preserve">Rémusat </w:t>
      </w:r>
      <w:r>
        <w:rPr>
          <w:rFonts w:ascii="Times New Roman" w:eastAsia="Times New Roman" w:hAnsi="Times New Roman" w:cs="Times New Roman"/>
          <w:color w:val="000000"/>
          <w:spacing w:val="0"/>
          <w:w w:val="100"/>
          <w:position w:val="0"/>
          <w:shd w:val="clear" w:color="auto" w:fill="auto"/>
          <w:lang w:val="en-US" w:eastAsia="en-US" w:bidi="en-US"/>
        </w:rPr>
        <w:t xml:space="preserve">he was joint founder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Société asiatique, </w:t>
      </w:r>
      <w:r>
        <w:rPr>
          <w:rFonts w:ascii="Times New Roman" w:eastAsia="Times New Roman" w:hAnsi="Times New Roman" w:cs="Times New Roman"/>
          <w:color w:val="000000"/>
          <w:spacing w:val="0"/>
          <w:w w:val="100"/>
          <w:position w:val="0"/>
          <w:shd w:val="clear" w:color="auto" w:fill="auto"/>
          <w:lang w:val="en-US" w:eastAsia="en-US" w:bidi="en-US"/>
        </w:rPr>
        <w:t>and was inspector of oriental types at the royal printing press. De Sacy died on the 21st of February 1838.</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Among his other works are his edition of Hariri (1822, 2nd edition by Reinaud, 1847, 1855), with a selected Arabic commentary, and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Alfiya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(1833), and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.Catila el Dimna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(1816),—the Arabic version of that famous collection of Buddhist animal tales which has been in various forms one of the most popular books of the world. A version of Abd-Allatif,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Relation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arabe sur l'Égypte,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essays on the history of the law of property in Egypt since the Arab conquest (1805-1818). To biblical criticism he contributed a memoir on the Samaritan Arabic of the Pentateuch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(Mém. Acad. des Inscr.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xlix.), and editions of the Arabic and Syriac New Testaments for the British and Foreign Bible Society. Of the brilliant teachers who went out from his lecture-room may be mentioned Professor Heinrich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Leberecht </w:t>
      </w:r>
      <w:r>
        <w:rPr>
          <w:rFonts w:ascii="Times New Roman" w:eastAsia="Times New Roman" w:hAnsi="Times New Roman" w:cs="Times New Roman"/>
          <w:color w:val="000000"/>
          <w:spacing w:val="0"/>
          <w:w w:val="100"/>
          <w:position w:val="0"/>
          <w:sz w:val="18"/>
          <w:szCs w:val="18"/>
          <w:shd w:val="clear" w:color="auto" w:fill="auto"/>
          <w:lang w:val="en-US" w:eastAsia="en-US" w:bidi="en-US"/>
        </w:rPr>
        <w:t>Fleischer (1801-1888), who contributed elabor</w:t>
        <w:softHyphen/>
        <w:t xml:space="preserve">ate notes and corrections to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Grammaire arabe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(Kleinere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Schriften, </w:t>
      </w:r>
      <w:r>
        <w:rPr>
          <w:rFonts w:ascii="Times New Roman" w:eastAsia="Times New Roman" w:hAnsi="Times New Roman" w:cs="Times New Roman"/>
          <w:color w:val="000000"/>
          <w:spacing w:val="0"/>
          <w:w w:val="100"/>
          <w:position w:val="0"/>
          <w:sz w:val="18"/>
          <w:szCs w:val="18"/>
          <w:shd w:val="clear" w:color="auto" w:fill="auto"/>
          <w:lang w:val="en-US" w:eastAsia="en-US" w:bidi="en-US"/>
        </w:rPr>
        <w:t>vol. i., 1885).</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SILVESTRINES,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de-DE" w:eastAsia="de-DE" w:bidi="de-DE"/>
        </w:rPr>
        <w:t>Sylvestrines,</w:t>
      </w:r>
      <w:r>
        <w:rPr>
          <w:rFonts w:ascii="Times New Roman" w:eastAsia="Times New Roman" w:hAnsi="Times New Roman" w:cs="Times New Roman"/>
          <w:color w:val="000000"/>
          <w:spacing w:val="0"/>
          <w:w w:val="100"/>
          <w:position w:val="0"/>
          <w:shd w:val="clear" w:color="auto" w:fill="auto"/>
          <w:lang w:val="de-DE" w:eastAsia="de-DE" w:bidi="de-DE"/>
        </w:rPr>
        <w:t xml:space="preserve"> an </w:t>
      </w:r>
      <w:r>
        <w:rPr>
          <w:rFonts w:ascii="Times New Roman" w:eastAsia="Times New Roman" w:hAnsi="Times New Roman" w:cs="Times New Roman"/>
          <w:color w:val="000000"/>
          <w:spacing w:val="0"/>
          <w:w w:val="100"/>
          <w:position w:val="0"/>
          <w:shd w:val="clear" w:color="auto" w:fill="auto"/>
          <w:lang w:val="en-US" w:eastAsia="en-US" w:bidi="en-US"/>
        </w:rPr>
        <w:t>order of monks under the Benedictine rule, founded 1231 by St Silvester Gozzolini. He was born at Osimo near Ancona and held a canonry there. About 1227 he resigned it to lead an austere eremitical life. Disciples came to him, and in 1231 he built a monastery at Montefano. The rule was the Benedictine, but as regards poverty in external things, far stricter than the Benedictine. The order was approved in 1247 by Innocent IV., and at Silvester’s death in 1267 there were eleven Silvestrine monasteries. At a later date there were 56, mostly in Umbria, Tuscany and the March of Ancona. In 1907 there were nine Silvestrine houses, one in Rome, and about 60 choir monks. Since 1855 they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communication to Eichhorn on the Paris MS. of the Syro- Hexaplar version of IV. Kings formed the basis of a paper in the latter’s </w:t>
      </w:r>
      <w:r>
        <w:rPr>
          <w:rFonts w:ascii="Times New Roman" w:eastAsia="Times New Roman" w:hAnsi="Times New Roman" w:cs="Times New Roman"/>
          <w:i/>
          <w:iCs/>
          <w:color w:val="000000"/>
          <w:spacing w:val="0"/>
          <w:w w:val="100"/>
          <w:position w:val="0"/>
          <w:shd w:val="clear" w:color="auto" w:fill="auto"/>
          <w:lang w:val="de-DE" w:eastAsia="de-DE" w:bidi="de-DE"/>
        </w:rPr>
        <w:t>Repertorium,</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vii. (1780). This was de Sacy’s literary debut. It was followed by text and translation of the letters of the Samaritans to Jos. Scaliger (ibid. vol. xiii., 1783) and by a series of essays on Arabian and Persian history in the </w:t>
      </w:r>
      <w:r>
        <w:rPr>
          <w:rFonts w:ascii="Times New Roman" w:eastAsia="Times New Roman" w:hAnsi="Times New Roman" w:cs="Times New Roman"/>
          <w:i/>
          <w:iCs/>
          <w:color w:val="000000"/>
          <w:spacing w:val="0"/>
          <w:w w:val="100"/>
          <w:position w:val="0"/>
          <w:shd w:val="clear" w:color="auto" w:fill="auto"/>
          <w:lang w:val="fr-FR" w:eastAsia="fr-FR" w:bidi="fr-FR"/>
        </w:rPr>
        <w:t>Recueil</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Academy of Inscriptions and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Notices </w:t>
      </w:r>
      <w:r>
        <w:rPr>
          <w:rFonts w:ascii="Times New Roman" w:eastAsia="Times New Roman" w:hAnsi="Times New Roman" w:cs="Times New Roman"/>
          <w:i/>
          <w:iCs/>
          <w:color w:val="000000"/>
          <w:spacing w:val="0"/>
          <w:w w:val="100"/>
          <w:position w:val="0"/>
          <w:shd w:val="clear" w:color="auto" w:fill="auto"/>
          <w:lang w:val="fr-FR" w:eastAsia="fr-FR" w:bidi="fr-FR"/>
        </w:rPr>
        <w:t>et extraits.</w:t>
      </w:r>
    </w:p>
    <w:sectPr>
      <w:footnotePr>
        <w:pos w:val="pageBottom"/>
        <w:numFmt w:val="decimal"/>
        <w:numRestart w:val="continuous"/>
      </w:footnotePr>
      <w:pgSz w:w="12240" w:h="15840"/>
      <w:pgMar w:top="950" w:left="876" w:right="871" w:bottom="5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