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laboured. His next publications were </w:t>
      </w:r>
      <w:r>
        <w:rPr>
          <w:rFonts w:ascii="Times New Roman" w:eastAsia="Times New Roman" w:hAnsi="Times New Roman" w:cs="Times New Roman"/>
          <w:i/>
          <w:iCs/>
          <w:color w:val="000000"/>
          <w:spacing w:val="0"/>
          <w:w w:val="100"/>
          <w:position w:val="0"/>
          <w:shd w:val="clear" w:color="auto" w:fill="auto"/>
          <w:lang w:val="en-US" w:eastAsia="en-US" w:bidi="en-US"/>
        </w:rPr>
        <w:t>A Treatise on the Nature and Laws of Chance</w:t>
      </w:r>
      <w:r>
        <w:rPr>
          <w:rFonts w:ascii="Times New Roman" w:eastAsia="Times New Roman" w:hAnsi="Times New Roman" w:cs="Times New Roman"/>
          <w:color w:val="000000"/>
          <w:spacing w:val="0"/>
          <w:w w:val="100"/>
          <w:position w:val="0"/>
          <w:shd w:val="clear" w:color="auto" w:fill="auto"/>
          <w:lang w:val="en-US" w:eastAsia="en-US" w:bidi="en-US"/>
        </w:rPr>
        <w:t xml:space="preserve"> (1740);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Essays on Several Curious and Useful Subjects in Speculative and Mixed Mathematicks </w:t>
      </w:r>
      <w:r>
        <w:rPr>
          <w:rFonts w:ascii="Times New Roman" w:eastAsia="Times New Roman" w:hAnsi="Times New Roman" w:cs="Times New Roman"/>
          <w:color w:val="000000"/>
          <w:spacing w:val="0"/>
          <w:w w:val="100"/>
          <w:position w:val="0"/>
          <w:shd w:val="clear" w:color="auto" w:fill="auto"/>
          <w:lang w:val="en-US" w:eastAsia="en-US" w:bidi="en-US"/>
        </w:rPr>
        <w:t xml:space="preserve">(1740); </w:t>
      </w:r>
      <w:r>
        <w:rPr>
          <w:rFonts w:ascii="Times New Roman" w:eastAsia="Times New Roman" w:hAnsi="Times New Roman" w:cs="Times New Roman"/>
          <w:i/>
          <w:iCs/>
          <w:color w:val="000000"/>
          <w:spacing w:val="0"/>
          <w:w w:val="100"/>
          <w:position w:val="0"/>
          <w:shd w:val="clear" w:color="auto" w:fill="auto"/>
          <w:lang w:val="en-US" w:eastAsia="en-US" w:bidi="en-US"/>
        </w:rPr>
        <w:t>The Doctrine of Annuities and Reversions deduced from General and Evident Principles</w:t>
      </w:r>
      <w:r>
        <w:rPr>
          <w:rFonts w:ascii="Times New Roman" w:eastAsia="Times New Roman" w:hAnsi="Times New Roman" w:cs="Times New Roman"/>
          <w:color w:val="000000"/>
          <w:spacing w:val="0"/>
          <w:w w:val="100"/>
          <w:position w:val="0"/>
          <w:shd w:val="clear" w:color="auto" w:fill="auto"/>
          <w:lang w:val="en-US" w:eastAsia="en-US" w:bidi="en-US"/>
        </w:rPr>
        <w:t xml:space="preserve"> (1742) ; and </w:t>
      </w:r>
      <w:r>
        <w:rPr>
          <w:rFonts w:ascii="Times New Roman" w:eastAsia="Times New Roman" w:hAnsi="Times New Roman" w:cs="Times New Roman"/>
          <w:i/>
          <w:iCs/>
          <w:color w:val="000000"/>
          <w:spacing w:val="0"/>
          <w:w w:val="100"/>
          <w:position w:val="0"/>
          <w:shd w:val="clear" w:color="auto" w:fill="auto"/>
          <w:lang w:val="en-US" w:eastAsia="en-US" w:bidi="en-US"/>
        </w:rPr>
        <w:t>Mathematical Disserta</w:t>
        <w:softHyphen/>
        <w:t>tions on a Variety of Physical and Analytical Subjects</w:t>
      </w:r>
      <w:r>
        <w:rPr>
          <w:rFonts w:ascii="Times New Roman" w:eastAsia="Times New Roman" w:hAnsi="Times New Roman" w:cs="Times New Roman"/>
          <w:color w:val="000000"/>
          <w:spacing w:val="0"/>
          <w:w w:val="100"/>
          <w:position w:val="0"/>
          <w:shd w:val="clear" w:color="auto" w:fill="auto"/>
          <w:lang w:val="en-US" w:eastAsia="en-US" w:bidi="en-US"/>
        </w:rPr>
        <w:t xml:space="preserve"> (1743). Soon after the publication of his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he was chosen a member of the Royal Academy at Stockholm; in 1743 he was appointed professor of mathematics in the Royal Military Academy at Woolwich; and in 1745 he was admitted a fellow of the Royal Society of London. In 1745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Treatise of Algebra, </w:t>
      </w:r>
      <w:r>
        <w:rPr>
          <w:rFonts w:ascii="Times New Roman" w:eastAsia="Times New Roman" w:hAnsi="Times New Roman" w:cs="Times New Roman"/>
          <w:color w:val="000000"/>
          <w:spacing w:val="0"/>
          <w:w w:val="100"/>
          <w:position w:val="0"/>
          <w:shd w:val="clear" w:color="auto" w:fill="auto"/>
          <w:lang w:val="en-US" w:eastAsia="en-US" w:bidi="en-US"/>
        </w:rPr>
        <w:t xml:space="preserve">with an appendix containing the construction of geometrical problems, and in 1747 the </w:t>
      </w:r>
      <w:r>
        <w:rPr>
          <w:rFonts w:ascii="Times New Roman" w:eastAsia="Times New Roman" w:hAnsi="Times New Roman" w:cs="Times New Roman"/>
          <w:i/>
          <w:iCs/>
          <w:color w:val="000000"/>
          <w:spacing w:val="0"/>
          <w:w w:val="100"/>
          <w:position w:val="0"/>
          <w:shd w:val="clear" w:color="auto" w:fill="auto"/>
          <w:lang w:val="en-US" w:eastAsia="en-US" w:bidi="en-US"/>
        </w:rPr>
        <w:t>Elements of Plane Geometry.</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book, unlike many others with the same title, is not an edition of Euclid’s </w:t>
      </w:r>
      <w:r>
        <w:rPr>
          <w:rFonts w:ascii="Times New Roman" w:eastAsia="Times New Roman" w:hAnsi="Times New Roman" w:cs="Times New Roman"/>
          <w:i/>
          <w:iCs/>
          <w:color w:val="000000"/>
          <w:spacing w:val="0"/>
          <w:w w:val="100"/>
          <w:position w:val="0"/>
          <w:shd w:val="clear" w:color="auto" w:fill="auto"/>
          <w:lang w:val="en-US" w:eastAsia="en-US" w:bidi="en-US"/>
        </w:rPr>
        <w:t>Elements,</w:t>
      </w:r>
      <w:r>
        <w:rPr>
          <w:rFonts w:ascii="Times New Roman" w:eastAsia="Times New Roman" w:hAnsi="Times New Roman" w:cs="Times New Roman"/>
          <w:color w:val="000000"/>
          <w:spacing w:val="0"/>
          <w:w w:val="100"/>
          <w:position w:val="0"/>
          <w:shd w:val="clear" w:color="auto" w:fill="auto"/>
          <w:lang w:val="en-US" w:eastAsia="en-US" w:bidi="en-US"/>
        </w:rPr>
        <w:t xml:space="preserve"> but an independent treatise, and the solutions of problems contained in it (and in the appendix to the </w:t>
      </w:r>
      <w:r>
        <w:rPr>
          <w:rFonts w:ascii="Times New Roman" w:eastAsia="Times New Roman" w:hAnsi="Times New Roman" w:cs="Times New Roman"/>
          <w:i/>
          <w:iCs/>
          <w:color w:val="000000"/>
          <w:spacing w:val="0"/>
          <w:w w:val="100"/>
          <w:position w:val="0"/>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as well) are in general exceedingly ingenious. In his </w:t>
      </w:r>
      <w:r>
        <w:rPr>
          <w:rFonts w:ascii="Times New Roman" w:eastAsia="Times New Roman" w:hAnsi="Times New Roman" w:cs="Times New Roman"/>
          <w:i/>
          <w:iCs/>
          <w:color w:val="000000"/>
          <w:spacing w:val="0"/>
          <w:w w:val="100"/>
          <w:position w:val="0"/>
          <w:shd w:val="clear" w:color="auto" w:fill="auto"/>
          <w:lang w:val="en-US" w:eastAsia="en-US" w:bidi="en-US"/>
        </w:rPr>
        <w:t>'Trigonometry, Plane and Spherical, with the Construction and Application of Logarithms,</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1748, there is a tolerably uniform use of contractions for the words sine, tangent, &amp;c., prefixed to the symbol of the angle. </w:t>
      </w:r>
      <w:r>
        <w:rPr>
          <w:rFonts w:ascii="Times New Roman" w:eastAsia="Times New Roman" w:hAnsi="Times New Roman" w:cs="Times New Roman"/>
          <w:i/>
          <w:iCs/>
          <w:color w:val="000000"/>
          <w:spacing w:val="0"/>
          <w:w w:val="100"/>
          <w:position w:val="0"/>
          <w:shd w:val="clear" w:color="auto" w:fill="auto"/>
          <w:lang w:val="en-US" w:eastAsia="en-US" w:bidi="en-US"/>
        </w:rPr>
        <w:t>The Doctrine and Application of Fluxions</w:t>
      </w:r>
      <w:r>
        <w:rPr>
          <w:rFonts w:ascii="Times New Roman" w:eastAsia="Times New Roman" w:hAnsi="Times New Roman" w:cs="Times New Roman"/>
          <w:color w:val="000000"/>
          <w:spacing w:val="0"/>
          <w:w w:val="100"/>
          <w:position w:val="0"/>
          <w:shd w:val="clear" w:color="auto" w:fill="auto"/>
          <w:lang w:val="en-US" w:eastAsia="en-US" w:bidi="en-US"/>
        </w:rPr>
        <w:t xml:space="preserve"> (1750) was more comprehensive than his earlier work on the same subject and was so different that he wished it to be considered as a new book and not as a second edition of the former. In 1752 appeared </w:t>
      </w:r>
      <w:r>
        <w:rPr>
          <w:rFonts w:ascii="Times New Roman" w:eastAsia="Times New Roman" w:hAnsi="Times New Roman" w:cs="Times New Roman"/>
          <w:i/>
          <w:iCs/>
          <w:color w:val="000000"/>
          <w:spacing w:val="0"/>
          <w:w w:val="100"/>
          <w:position w:val="0"/>
          <w:shd w:val="clear" w:color="auto" w:fill="auto"/>
          <w:lang w:val="en-US" w:eastAsia="en-US" w:bidi="en-US"/>
        </w:rPr>
        <w:t>Select Exercises for Young Proficients in the Mathematicks,</w:t>
      </w:r>
      <w:r>
        <w:rPr>
          <w:rFonts w:ascii="Times New Roman" w:eastAsia="Times New Roman" w:hAnsi="Times New Roman" w:cs="Times New Roman"/>
          <w:color w:val="000000"/>
          <w:spacing w:val="0"/>
          <w:w w:val="100"/>
          <w:position w:val="0"/>
          <w:shd w:val="clear" w:color="auto" w:fill="auto"/>
          <w:lang w:val="en-US" w:eastAsia="en-US" w:bidi="en-US"/>
        </w:rPr>
        <w:t xml:space="preserve"> and in 1757 his </w:t>
      </w:r>
      <w:r>
        <w:rPr>
          <w:rFonts w:ascii="Times New Roman" w:eastAsia="Times New Roman" w:hAnsi="Times New Roman" w:cs="Times New Roman"/>
          <w:i/>
          <w:iCs/>
          <w:color w:val="000000"/>
          <w:spacing w:val="0"/>
          <w:w w:val="100"/>
          <w:position w:val="0"/>
          <w:shd w:val="clear" w:color="auto" w:fill="auto"/>
          <w:lang w:val="en-US" w:eastAsia="en-US" w:bidi="en-US"/>
        </w:rPr>
        <w:t>Miscellaneous Tracts on Some Curious and Very Interesting Subjects in Mechanics, Physical Astronomy and Speculative Mathematics,</w:t>
      </w:r>
      <w:r>
        <w:rPr>
          <w:rFonts w:ascii="Times New Roman" w:eastAsia="Times New Roman" w:hAnsi="Times New Roman" w:cs="Times New Roman"/>
          <w:color w:val="000000"/>
          <w:spacing w:val="0"/>
          <w:w w:val="100"/>
          <w:position w:val="0"/>
          <w:shd w:val="clear" w:color="auto" w:fill="auto"/>
          <w:lang w:val="en-US" w:eastAsia="en-US" w:bidi="en-US"/>
        </w:rPr>
        <w:t xml:space="preserve"> the last and perhaps the greatest of all his works. From the year 1735 he had been a frequent contributor to the </w:t>
      </w:r>
      <w:r>
        <w:rPr>
          <w:rFonts w:ascii="Times New Roman" w:eastAsia="Times New Roman" w:hAnsi="Times New Roman" w:cs="Times New Roman"/>
          <w:i/>
          <w:iCs/>
          <w:color w:val="000000"/>
          <w:spacing w:val="0"/>
          <w:w w:val="100"/>
          <w:position w:val="0"/>
          <w:shd w:val="clear" w:color="auto" w:fill="auto"/>
          <w:lang w:val="en-US" w:eastAsia="en-US" w:bidi="en-US"/>
        </w:rPr>
        <w:t>Ladies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Diary,</w:t>
      </w:r>
      <w:r>
        <w:rPr>
          <w:rFonts w:ascii="Times New Roman" w:eastAsia="Times New Roman" w:hAnsi="Times New Roman" w:cs="Times New Roman"/>
          <w:color w:val="000000"/>
          <w:spacing w:val="0"/>
          <w:w w:val="100"/>
          <w:position w:val="0"/>
          <w:shd w:val="clear" w:color="auto" w:fill="auto"/>
          <w:lang w:val="en-US" w:eastAsia="en-US" w:bidi="en-US"/>
        </w:rPr>
        <w:t xml:space="preserve"> an annual publication partly devoted to the solution of mathematical problems, and from 1754 till 1760 inclusive he was the editor of it. He died at Market Bosworth on the 14th of May 1761.</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Charles Hutton,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Mathematical and Philosophical Dictionary </w:t>
      </w:r>
      <w:r>
        <w:rPr>
          <w:rFonts w:ascii="Times New Roman" w:eastAsia="Times New Roman" w:hAnsi="Times New Roman" w:cs="Times New Roman"/>
          <w:color w:val="000000"/>
          <w:spacing w:val="0"/>
          <w:w w:val="100"/>
          <w:position w:val="0"/>
          <w:sz w:val="18"/>
          <w:szCs w:val="18"/>
          <w:shd w:val="clear" w:color="auto" w:fill="auto"/>
          <w:lang w:val="en-US" w:eastAsia="en-US" w:bidi="en-US"/>
        </w:rPr>
        <w:t>(1815).</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SIMROCK, KARL JOSEPH </w:t>
      </w:r>
      <w:r>
        <w:rPr>
          <w:rFonts w:ascii="Times New Roman" w:eastAsia="Times New Roman" w:hAnsi="Times New Roman" w:cs="Times New Roman"/>
          <w:color w:val="000000"/>
          <w:spacing w:val="0"/>
          <w:w w:val="100"/>
          <w:position w:val="0"/>
          <w:shd w:val="clear" w:color="auto" w:fill="auto"/>
          <w:lang w:val="en-US" w:eastAsia="en-US" w:bidi="en-US"/>
        </w:rPr>
        <w:t>(1802-1876), German poet and man of letters, was born on the 28th of August 1802 at Bonn, where his father was a music publisher. He studied law at the universities of Bonn and Berlin, and in 1823 entered the Prussian civil service, from which he was expelled in 1830 for writing a poem in praise of the French July revolution. Afterwards he was admitted as lecturer at the university of Bonn, where in 1850 he was made a professor of Old German literature, and in which city he died on the 18th of July 1876. Simrock estab</w:t>
        <w:softHyphen/>
        <w:t xml:space="preserve">lished his reputation by his excellent modern rendering of the </w:t>
      </w:r>
      <w:r>
        <w:rPr>
          <w:rFonts w:ascii="Times New Roman" w:eastAsia="Times New Roman" w:hAnsi="Times New Roman" w:cs="Times New Roman"/>
          <w:i/>
          <w:iCs/>
          <w:color w:val="000000"/>
          <w:spacing w:val="0"/>
          <w:w w:val="100"/>
          <w:position w:val="0"/>
          <w:shd w:val="clear" w:color="auto" w:fill="auto"/>
          <w:lang w:val="de-DE" w:eastAsia="de-DE" w:bidi="de-DE"/>
        </w:rPr>
        <w:t>Nibelungenlied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(1827), and of the poems of Walther </w:t>
      </w:r>
      <w:r>
        <w:rPr>
          <w:rFonts w:ascii="Times New Roman" w:eastAsia="Times New Roman" w:hAnsi="Times New Roman" w:cs="Times New Roman"/>
          <w:color w:val="000000"/>
          <w:spacing w:val="0"/>
          <w:w w:val="100"/>
          <w:position w:val="0"/>
          <w:shd w:val="clear" w:color="auto" w:fill="auto"/>
          <w:lang w:val="de-DE" w:eastAsia="de-DE" w:bidi="de-DE"/>
        </w:rPr>
        <w:t xml:space="preserve">von der </w:t>
      </w:r>
      <w:r>
        <w:rPr>
          <w:rFonts w:ascii="Times New Roman" w:eastAsia="Times New Roman" w:hAnsi="Times New Roman" w:cs="Times New Roman"/>
          <w:color w:val="000000"/>
          <w:spacing w:val="0"/>
          <w:w w:val="100"/>
          <w:position w:val="0"/>
          <w:shd w:val="clear" w:color="auto" w:fill="auto"/>
          <w:lang w:val="en-US" w:eastAsia="en-US" w:bidi="en-US"/>
        </w:rPr>
        <w:t xml:space="preserve">Vogel </w:t>
      </w:r>
      <w:r>
        <w:rPr>
          <w:rFonts w:ascii="Times New Roman" w:eastAsia="Times New Roman" w:hAnsi="Times New Roman" w:cs="Times New Roman"/>
          <w:color w:val="000000"/>
          <w:spacing w:val="0"/>
          <w:w w:val="100"/>
          <w:position w:val="0"/>
          <w:shd w:val="clear" w:color="auto" w:fill="auto"/>
          <w:lang w:val="de-DE" w:eastAsia="de-DE" w:bidi="de-DE"/>
        </w:rPr>
        <w:t xml:space="preserve">weide </w:t>
      </w:r>
      <w:r>
        <w:rPr>
          <w:rFonts w:ascii="Times New Roman" w:eastAsia="Times New Roman" w:hAnsi="Times New Roman" w:cs="Times New Roman"/>
          <w:color w:val="000000"/>
          <w:spacing w:val="0"/>
          <w:w w:val="100"/>
          <w:position w:val="0"/>
          <w:shd w:val="clear" w:color="auto" w:fill="auto"/>
          <w:lang w:val="en-US" w:eastAsia="en-US" w:bidi="en-US"/>
        </w:rPr>
        <w:t>(1833).</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Among other works translated by him into modern German were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Arme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Heinrich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Hartmann von Aue (1830),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Parzival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Titurel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Wolfram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Eschenbach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(1842),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Tristan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Gottfried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(1855), 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Heldenbuch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(1843-1849), which he supplemented with independent poems. Before the publication of this Work he had shown an original poetical faculty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Wieland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Schmied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(1835) ; and in 1844 he issued a volume of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Gedichte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which there are many good lyrics, romances and ballads. In 1850 appeared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Lauda Sion,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1857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Deutsche Sionsharfe,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collections of Old German sacred poetry. Of his republications the most popular and the most valuable were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Deutschen Volksbücher,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which fifty- five were printed between 1839 and 1867. His best contribution to scholarship was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Handbuch der deutschen Mythologie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(1853-1855).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 early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stage of his career Simrock took a high place among students of Shakespeare by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Quellen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des Shakespeare 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Novellen, Märchen und Sagen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(1831);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afterwards he translated Shake</w:t>
        <w:softHyphen/>
        <w:t xml:space="preserve">speare’s poems and a considerable number of his dramas. The large number of editions through which Simrock’s translations from the Middle High German have passed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Nibelungenlied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more than forty) bear witness to their popularity. An edition of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Aus gewählte Werke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has been published by G. Klee (1907).</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N. Hocker,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Karl Simrock,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 Leben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hd w:val="clear" w:color="auto" w:fill="auto"/>
          <w:lang w:val="de-DE" w:eastAsia="de-DE" w:bidi="de-DE"/>
        </w:rPr>
        <w:t>Werke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Düntzer, </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Erinnerungen an Karl Simrock,’’ in </w:t>
      </w:r>
      <w:r>
        <w:rPr>
          <w:rFonts w:ascii="Times New Roman" w:eastAsia="Times New Roman" w:hAnsi="Times New Roman" w:cs="Times New Roman"/>
          <w:i/>
          <w:iCs/>
          <w:color w:val="000000"/>
          <w:spacing w:val="0"/>
          <w:w w:val="100"/>
          <w:position w:val="0"/>
          <w:shd w:val="clear" w:color="auto" w:fill="auto"/>
          <w:lang w:val="de-DE" w:eastAsia="de-DE" w:bidi="de-DE"/>
        </w:rPr>
        <w:t>Monatsschrift für Westdeutschland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(1877),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Schröder’s article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Allg. deutsche Biographie.</w:t>
      </w:r>
    </w:p>
    <w:p>
      <w:pPr>
        <w:pStyle w:val="Style3"/>
        <w:keepNext w:val="0"/>
        <w:keepLines w:val="0"/>
        <w:widowControl w:val="0"/>
        <w:shd w:val="clear" w:color="auto" w:fill="auto"/>
        <w:tabs>
          <w:tab w:pos="3362" w:val="left"/>
        </w:tabs>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SIMS, GEORGE ROBERT </w:t>
      </w:r>
      <w:r>
        <w:rPr>
          <w:rFonts w:ascii="Times New Roman" w:eastAsia="Times New Roman" w:hAnsi="Times New Roman" w:cs="Times New Roman"/>
          <w:color w:val="000000"/>
          <w:spacing w:val="0"/>
          <w:w w:val="100"/>
          <w:position w:val="0"/>
          <w:shd w:val="clear" w:color="auto" w:fill="auto"/>
          <w:lang w:val="en-US" w:eastAsia="en-US" w:bidi="en-US"/>
        </w:rPr>
        <w:t>(1847-</w:t>
        <w:tab/>
        <w:t>), English journalist</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dramatic author, was born on the 2nd of September 1847. He was educated at Hanwell College and at Bonn, and com</w:t>
        <w:softHyphen/>
        <w:t xml:space="preserve">menced journalism in 1874 as successor to Tom Hood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Fun. </w:t>
      </w:r>
      <w:r>
        <w:rPr>
          <w:rFonts w:ascii="Times New Roman" w:eastAsia="Times New Roman" w:hAnsi="Times New Roman" w:cs="Times New Roman"/>
          <w:color w:val="000000"/>
          <w:spacing w:val="0"/>
          <w:w w:val="100"/>
          <w:position w:val="0"/>
          <w:shd w:val="clear" w:color="auto" w:fill="auto"/>
          <w:lang w:val="en-US" w:eastAsia="en-US" w:bidi="en-US"/>
        </w:rPr>
        <w:t xml:space="preserve">His first play, </w:t>
      </w:r>
      <w:r>
        <w:rPr>
          <w:rFonts w:ascii="Times New Roman" w:eastAsia="Times New Roman" w:hAnsi="Times New Roman" w:cs="Times New Roman"/>
          <w:i/>
          <w:iCs/>
          <w:color w:val="000000"/>
          <w:spacing w:val="0"/>
          <w:w w:val="100"/>
          <w:position w:val="0"/>
          <w:shd w:val="clear" w:color="auto" w:fill="auto"/>
          <w:lang w:val="en-US" w:eastAsia="en-US" w:bidi="en-US"/>
        </w:rPr>
        <w:t>Crutch and Toothpick,</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the Royalty Theatre in April 1879, and was followed by a number of plays of which he was author or part-author. After long runs at west end houses, many of these became stock pieces in suburban and provincial theatres. His most famous melodramas were: </w:t>
      </w:r>
      <w:r>
        <w:rPr>
          <w:rFonts w:ascii="Times New Roman" w:eastAsia="Times New Roman" w:hAnsi="Times New Roman" w:cs="Times New Roman"/>
          <w:i/>
          <w:iCs/>
          <w:color w:val="000000"/>
          <w:spacing w:val="0"/>
          <w:w w:val="100"/>
          <w:position w:val="0"/>
          <w:shd w:val="clear" w:color="auto" w:fill="auto"/>
          <w:lang w:val="en-US" w:eastAsia="en-US" w:bidi="en-US"/>
        </w:rPr>
        <w:t>The Lights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(Princess’s theatre, September 1881), which ran for nearly a year; </w:t>
      </w:r>
      <w:r>
        <w:rPr>
          <w:rFonts w:ascii="Times New Roman" w:eastAsia="Times New Roman" w:hAnsi="Times New Roman" w:cs="Times New Roman"/>
          <w:i/>
          <w:iCs/>
          <w:color w:val="000000"/>
          <w:spacing w:val="0"/>
          <w:w w:val="100"/>
          <w:position w:val="0"/>
          <w:shd w:val="clear" w:color="auto" w:fill="auto"/>
          <w:lang w:val="en-US" w:eastAsia="en-US" w:bidi="en-US"/>
        </w:rPr>
        <w:t>In the Ranks</w:t>
      </w:r>
      <w:r>
        <w:rPr>
          <w:rFonts w:ascii="Times New Roman" w:eastAsia="Times New Roman" w:hAnsi="Times New Roman" w:cs="Times New Roman"/>
          <w:color w:val="000000"/>
          <w:spacing w:val="0"/>
          <w:w w:val="100"/>
          <w:position w:val="0"/>
          <w:shd w:val="clear" w:color="auto" w:fill="auto"/>
          <w:lang w:val="en-US" w:eastAsia="en-US" w:bidi="en-US"/>
        </w:rPr>
        <w:t xml:space="preserve"> (Adelphi, Oct. 1883), written with H. Pettit, which ran for 457 nights; </w:t>
      </w:r>
      <w:r>
        <w:rPr>
          <w:rFonts w:ascii="Times New Roman" w:eastAsia="Times New Roman" w:hAnsi="Times New Roman" w:cs="Times New Roman"/>
          <w:i/>
          <w:iCs/>
          <w:color w:val="000000"/>
          <w:spacing w:val="0"/>
          <w:w w:val="100"/>
          <w:position w:val="0"/>
          <w:shd w:val="clear" w:color="auto" w:fill="auto"/>
          <w:lang w:val="en-US" w:eastAsia="en-US" w:bidi="en-US"/>
        </w:rPr>
        <w:t>Harbour Lights</w:t>
      </w:r>
      <w:r>
        <w:rPr>
          <w:rFonts w:ascii="Times New Roman" w:eastAsia="Times New Roman" w:hAnsi="Times New Roman" w:cs="Times New Roman"/>
          <w:color w:val="000000"/>
          <w:spacing w:val="0"/>
          <w:w w:val="100"/>
          <w:position w:val="0"/>
          <w:shd w:val="clear" w:color="auto" w:fill="auto"/>
          <w:lang w:val="en-US" w:eastAsia="en-US" w:bidi="en-US"/>
        </w:rPr>
        <w:t xml:space="preserve"> (1885), which ran for 513 nights; </w:t>
      </w:r>
      <w:r>
        <w:rPr>
          <w:rFonts w:ascii="Times New Roman" w:eastAsia="Times New Roman" w:hAnsi="Times New Roman" w:cs="Times New Roman"/>
          <w:i/>
          <w:iCs/>
          <w:color w:val="000000"/>
          <w:spacing w:val="0"/>
          <w:w w:val="100"/>
          <w:position w:val="0"/>
          <w:shd w:val="clear" w:color="auto" w:fill="auto"/>
          <w:lang w:val="en-US" w:eastAsia="en-US" w:bidi="en-US"/>
        </w:rPr>
        <w:t>Two Little Vagabonds</w:t>
      </w:r>
      <w:r>
        <w:rPr>
          <w:rFonts w:ascii="Times New Roman" w:eastAsia="Times New Roman" w:hAnsi="Times New Roman" w:cs="Times New Roman"/>
          <w:color w:val="000000"/>
          <w:spacing w:val="0"/>
          <w:w w:val="100"/>
          <w:position w:val="0"/>
          <w:shd w:val="clear" w:color="auto" w:fill="auto"/>
          <w:lang w:val="en-US" w:eastAsia="en-US" w:bidi="en-US"/>
        </w:rPr>
        <w:t xml:space="preserve"> (Princess’s Theatre, 1896-1897). He was part-author with Cecil Raleigh of the burlesque opera, </w:t>
      </w:r>
      <w:r>
        <w:rPr>
          <w:rFonts w:ascii="Times New Roman" w:eastAsia="Times New Roman" w:hAnsi="Times New Roman" w:cs="Times New Roman"/>
          <w:i/>
          <w:iCs/>
          <w:color w:val="000000"/>
          <w:spacing w:val="0"/>
          <w:w w:val="100"/>
          <w:position w:val="0"/>
          <w:shd w:val="clear" w:color="auto" w:fill="auto"/>
          <w:lang w:val="en-US" w:eastAsia="en-US" w:bidi="en-US"/>
        </w:rPr>
        <w:t>Little Christopher Columbus</w:t>
      </w:r>
      <w:r>
        <w:rPr>
          <w:rFonts w:ascii="Times New Roman" w:eastAsia="Times New Roman" w:hAnsi="Times New Roman" w:cs="Times New Roman"/>
          <w:color w:val="000000"/>
          <w:spacing w:val="0"/>
          <w:w w:val="100"/>
          <w:position w:val="0"/>
          <w:shd w:val="clear" w:color="auto" w:fill="auto"/>
          <w:lang w:val="en-US" w:eastAsia="en-US" w:bidi="en-US"/>
        </w:rPr>
        <w:t xml:space="preserve"> (1893), and among his musical plays were </w:t>
      </w:r>
      <w:r>
        <w:rPr>
          <w:rFonts w:ascii="Times New Roman" w:eastAsia="Times New Roman" w:hAnsi="Times New Roman" w:cs="Times New Roman"/>
          <w:i/>
          <w:iCs/>
          <w:color w:val="000000"/>
          <w:spacing w:val="0"/>
          <w:w w:val="100"/>
          <w:position w:val="0"/>
          <w:shd w:val="clear" w:color="auto" w:fill="auto"/>
          <w:lang w:val="en-US" w:eastAsia="en-US" w:bidi="en-US"/>
        </w:rPr>
        <w:t>Blue-eyed Susan</w:t>
      </w:r>
      <w:r>
        <w:rPr>
          <w:rFonts w:ascii="Times New Roman" w:eastAsia="Times New Roman" w:hAnsi="Times New Roman" w:cs="Times New Roman"/>
          <w:color w:val="000000"/>
          <w:spacing w:val="0"/>
          <w:w w:val="100"/>
          <w:position w:val="0"/>
          <w:shd w:val="clear" w:color="auto" w:fill="auto"/>
          <w:lang w:val="en-US" w:eastAsia="en-US" w:bidi="en-US"/>
        </w:rPr>
        <w:t xml:space="preserve"> (Prince of Wales’s, 1892) and </w:t>
      </w:r>
      <w:r>
        <w:rPr>
          <w:rFonts w:ascii="Times New Roman" w:eastAsia="Times New Roman" w:hAnsi="Times New Roman" w:cs="Times New Roman"/>
          <w:i/>
          <w:iCs/>
          <w:color w:val="000000"/>
          <w:spacing w:val="0"/>
          <w:w w:val="100"/>
          <w:position w:val="0"/>
          <w:shd w:val="clear" w:color="auto" w:fill="auto"/>
          <w:lang w:val="en-US" w:eastAsia="en-US" w:bidi="en-US"/>
        </w:rPr>
        <w:t>The Dandy Fifth</w:t>
      </w:r>
      <w:r>
        <w:rPr>
          <w:rFonts w:ascii="Times New Roman" w:eastAsia="Times New Roman" w:hAnsi="Times New Roman" w:cs="Times New Roman"/>
          <w:color w:val="000000"/>
          <w:spacing w:val="0"/>
          <w:w w:val="100"/>
          <w:position w:val="0"/>
          <w:shd w:val="clear" w:color="auto" w:fill="auto"/>
          <w:lang w:val="en-US" w:eastAsia="en-US" w:bidi="en-US"/>
        </w:rPr>
        <w:t xml:space="preserve"> (Birmingham, 1898). His early volumes of light verse were very popular, notably </w:t>
      </w:r>
      <w:r>
        <w:rPr>
          <w:rFonts w:ascii="Times New Roman" w:eastAsia="Times New Roman" w:hAnsi="Times New Roman" w:cs="Times New Roman"/>
          <w:i/>
          <w:iCs/>
          <w:color w:val="000000"/>
          <w:spacing w:val="0"/>
          <w:w w:val="100"/>
          <w:position w:val="0"/>
          <w:shd w:val="clear" w:color="auto" w:fill="auto"/>
          <w:lang w:val="en-US" w:eastAsia="en-US" w:bidi="en-US"/>
        </w:rPr>
        <w:t>The Dagonet Ballads</w:t>
      </w:r>
      <w:r>
        <w:rPr>
          <w:rFonts w:ascii="Times New Roman" w:eastAsia="Times New Roman" w:hAnsi="Times New Roman" w:cs="Times New Roman"/>
          <w:color w:val="000000"/>
          <w:spacing w:val="0"/>
          <w:w w:val="100"/>
          <w:position w:val="0"/>
          <w:shd w:val="clear" w:color="auto" w:fill="auto"/>
          <w:lang w:val="en-US" w:eastAsia="en-US" w:bidi="en-US"/>
        </w:rPr>
        <w:t xml:space="preserve"> (1882), reprinted from the </w:t>
      </w:r>
      <w:r>
        <w:rPr>
          <w:rFonts w:ascii="Times New Roman" w:eastAsia="Times New Roman" w:hAnsi="Times New Roman" w:cs="Times New Roman"/>
          <w:i/>
          <w:iCs/>
          <w:color w:val="000000"/>
          <w:spacing w:val="0"/>
          <w:w w:val="100"/>
          <w:position w:val="0"/>
          <w:shd w:val="clear" w:color="auto" w:fill="auto"/>
          <w:lang w:val="en-US" w:eastAsia="en-US" w:bidi="en-US"/>
        </w:rPr>
        <w:t>Referee. How the Poor Live</w:t>
      </w:r>
      <w:r>
        <w:rPr>
          <w:rFonts w:ascii="Times New Roman" w:eastAsia="Times New Roman" w:hAnsi="Times New Roman" w:cs="Times New Roman"/>
          <w:color w:val="000000"/>
          <w:spacing w:val="0"/>
          <w:w w:val="100"/>
          <w:position w:val="0"/>
          <w:shd w:val="clear" w:color="auto" w:fill="auto"/>
          <w:lang w:val="en-US" w:eastAsia="en-US" w:bidi="en-US"/>
        </w:rPr>
        <w:t xml:space="preserve"> (1883) and his articles on the housing of the poor in the </w:t>
      </w:r>
      <w:r>
        <w:rPr>
          <w:rFonts w:ascii="Times New Roman" w:eastAsia="Times New Roman" w:hAnsi="Times New Roman" w:cs="Times New Roman"/>
          <w:i/>
          <w:iCs/>
          <w:color w:val="000000"/>
          <w:spacing w:val="0"/>
          <w:w w:val="100"/>
          <w:position w:val="0"/>
          <w:shd w:val="clear" w:color="auto" w:fill="auto"/>
          <w:lang w:val="en-US" w:eastAsia="en-US" w:bidi="en-US"/>
        </w:rPr>
        <w:t>Daily News</w:t>
      </w:r>
      <w:r>
        <w:rPr>
          <w:rFonts w:ascii="Times New Roman" w:eastAsia="Times New Roman" w:hAnsi="Times New Roman" w:cs="Times New Roman"/>
          <w:color w:val="000000"/>
          <w:spacing w:val="0"/>
          <w:w w:val="100"/>
          <w:position w:val="0"/>
          <w:shd w:val="clear" w:color="auto" w:fill="auto"/>
          <w:lang w:val="en-US" w:eastAsia="en-US" w:bidi="en-US"/>
        </w:rPr>
        <w:t xml:space="preserve"> helped to arouse public opinion on the subject, which was dealt with in the act of 1885.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SIMSBURY, </w:t>
      </w:r>
      <w:r>
        <w:rPr>
          <w:rFonts w:ascii="Times New Roman" w:eastAsia="Times New Roman" w:hAnsi="Times New Roman" w:cs="Times New Roman"/>
          <w:color w:val="000000"/>
          <w:spacing w:val="0"/>
          <w:w w:val="100"/>
          <w:position w:val="0"/>
          <w:shd w:val="clear" w:color="auto" w:fill="auto"/>
          <w:lang w:val="en-US" w:eastAsia="en-US" w:bidi="en-US"/>
        </w:rPr>
        <w:t>a township of Hartford county, Connecticut, U.S.A., traversed by the Farmington river and about 10 m. N.W. of Hartford. Pop. (1910) 2537. Area about 38 sq. m. The township is served by the New York, New Haven &amp; Hartford and by the Central New England railways, which meet at Simsbury village. Among the manufactures are fuses, cigars and paper. A tract along the Tunxus (now Farmington) river, called Massacoe or Saco by the Indians, was ceded to whites in 1648, and there were settlers here from Windsor as early as 1664. In 1670 the township was incorporated as Simsbury. In 1675, during King Philip’s War, Simsbury was abandoned; and in 1676 it was burnt and pillaged by the Indians; but it was resettled in the following year. Steel seems to have been made here from native iron in 1727, and in 1739 the General Court of Connecticut granted to three citizens of Simsbury a fifteen years’ monopoly of making steel in the colony. Owing to the pine forests pitch and tar were important manufactures in early times. From the N. of Simsbury the township of Granby (pop. 1910, 1383) was set off in 1786. In this part of the township a copper mine was worked between 1705 and 1745, and smelting and refining works were built in 1721. In 1773 the mine was leased by the General Court and was fitted up as a public gaol and workhouse (called Newgate Prison), the prisoners being employed in mining. Some Tories were imprisoned here after 1780; many of them escaped in May 1781. The prison was rebuilt in 1790 and was used until 1827. The W. of Simsbury was set off in 1806 as Canton (pop. in 1900, 2678).</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N. A. Phelps,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Simsbury, Granby and Canton from 1642 to 1845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(Hartford, 1845).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SIMSON, MARTIN EDUARD VON </w:t>
      </w:r>
      <w:r>
        <w:rPr>
          <w:rFonts w:ascii="Times New Roman" w:eastAsia="Times New Roman" w:hAnsi="Times New Roman" w:cs="Times New Roman"/>
          <w:color w:val="000000"/>
          <w:spacing w:val="0"/>
          <w:w w:val="100"/>
          <w:position w:val="0"/>
          <w:shd w:val="clear" w:color="auto" w:fill="auto"/>
          <w:lang w:val="en-US" w:eastAsia="en-US" w:bidi="en-US"/>
        </w:rPr>
        <w:t xml:space="preserve">(1810-1899), German jurist and politician, was born at Königsberg, in Prussia, on the 10th of November 1810, of Jewish parentage. After the usual course at the gymnasium of his native town, he entered its university in 1826 as a student of jurisprudence, and specially of Roman law. He continued his studies at Berlin and Bonn, and, having graduated </w:t>
      </w:r>
      <w:r>
        <w:rPr>
          <w:rFonts w:ascii="Times New Roman" w:eastAsia="Times New Roman" w:hAnsi="Times New Roman" w:cs="Times New Roman"/>
          <w:i/>
          <w:iCs/>
          <w:color w:val="000000"/>
          <w:spacing w:val="0"/>
          <w:w w:val="100"/>
          <w:position w:val="0"/>
          <w:shd w:val="clear" w:color="auto" w:fill="auto"/>
          <w:lang w:val="en-US" w:eastAsia="en-US" w:bidi="en-US"/>
        </w:rPr>
        <w:t>doctor juris,</w:t>
      </w:r>
      <w:r>
        <w:rPr>
          <w:rFonts w:ascii="Times New Roman" w:eastAsia="Times New Roman" w:hAnsi="Times New Roman" w:cs="Times New Roman"/>
          <w:color w:val="000000"/>
          <w:spacing w:val="0"/>
          <w:w w:val="100"/>
          <w:position w:val="0"/>
          <w:shd w:val="clear" w:color="auto" w:fill="auto"/>
          <w:lang w:val="en-US" w:eastAsia="en-US" w:bidi="en-US"/>
        </w:rPr>
        <w:t xml:space="preserve"> attended lectures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w:t>
      </w:r>
      <w:r>
        <w:rPr>
          <w:rFonts w:ascii="Times New Roman" w:eastAsia="Times New Roman" w:hAnsi="Times New Roman" w:cs="Times New Roman"/>
          <w:color w:val="000000"/>
          <w:spacing w:val="0"/>
          <w:w w:val="100"/>
          <w:position w:val="0"/>
          <w:shd w:val="clear" w:color="auto" w:fill="auto"/>
          <w:lang w:val="en-US" w:eastAsia="en-US" w:bidi="en-US"/>
        </w:rPr>
        <w:t xml:space="preserve">de Droit in Paris. Returning to Königsberg in 1831 he established himself 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Privatdozent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Roman law, becoming two years later extraordinary, and in 1836 ordinary, professor in that faculty at the university. Like many other distinguished German jurists,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with his professorial activity, Simson followed the judicial branch of the legal profession, and, passing rapidly through the subordinate stages of auscultator and assessor, became adviser (Rath) to the </w:t>
      </w:r>
      <w:r>
        <w:rPr>
          <w:rFonts w:ascii="Times New Roman" w:eastAsia="Times New Roman" w:hAnsi="Times New Roman" w:cs="Times New Roman"/>
          <w:color w:val="000000"/>
          <w:spacing w:val="0"/>
          <w:w w:val="100"/>
          <w:position w:val="0"/>
          <w:shd w:val="clear" w:color="auto" w:fill="auto"/>
          <w:lang w:val="de-DE" w:eastAsia="de-DE" w:bidi="de-DE"/>
        </w:rPr>
        <w:t xml:space="preserve">Landgericht </w:t>
      </w:r>
      <w:r>
        <w:rPr>
          <w:rFonts w:ascii="Times New Roman" w:eastAsia="Times New Roman" w:hAnsi="Times New Roman" w:cs="Times New Roman"/>
          <w:color w:val="000000"/>
          <w:spacing w:val="0"/>
          <w:w w:val="100"/>
          <w:position w:val="0"/>
          <w:shd w:val="clear" w:color="auto" w:fill="auto"/>
          <w:lang w:val="en-US" w:eastAsia="en-US" w:bidi="en-US"/>
        </w:rPr>
        <w:t>in 1846. In this year he stood for the representation of Königsberg in the National Assembly at Frankfort-on-Main, and on his election was immediately appointed secretary, and in the course of the same year became successively its vice-president and president. In his capacity of president he appeared, on 3rd April 1849, in Berlin at the head of a deputation of the Frankfort parliament to announce to King Frederick William IV. his election as German Emperor by the representatives of the people. The king, either apprehensive of a rupture with Austria, or fearing detriment to the prerogatives of the Prussian crown should he</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